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0"/>
        <w:ind w:firstLine="640"/>
        <w:jc w:val="center"/>
        <w:rPr>
          <w:rFonts w:hint="eastAsia" w:ascii="仿宋" w:hAnsi="仿宋" w:eastAsia="仿宋" w:cs="仿宋"/>
          <w:color w:val="auto"/>
          <w:sz w:val="36"/>
          <w:szCs w:val="36"/>
        </w:rPr>
      </w:pPr>
      <w:r>
        <w:rPr>
          <w:rFonts w:hint="eastAsia" w:ascii="仿宋" w:hAnsi="仿宋" w:eastAsia="仿宋" w:cs="仿宋"/>
          <w:color w:val="auto"/>
          <w:sz w:val="36"/>
          <w:szCs w:val="36"/>
        </w:rPr>
        <w:t>重庆市第八中学校</w:t>
      </w:r>
    </w:p>
    <w:p>
      <w:pPr>
        <w:pStyle w:val="6"/>
        <w:spacing w:after="0"/>
        <w:ind w:left="0" w:leftChars="-200" w:right="-512" w:rightChars="-244" w:hanging="420" w:firstLineChars="0"/>
        <w:jc w:val="center"/>
        <w:rPr>
          <w:rFonts w:hint="eastAsia" w:ascii="仿宋" w:hAnsi="仿宋" w:eastAsia="仿宋" w:cs="仿宋"/>
          <w:color w:val="auto"/>
          <w:sz w:val="36"/>
          <w:szCs w:val="36"/>
          <w:lang w:eastAsia="zh-CN"/>
        </w:rPr>
      </w:pPr>
      <w:r>
        <w:rPr>
          <w:rFonts w:hint="eastAsia" w:ascii="仿宋" w:hAnsi="仿宋" w:eastAsia="仿宋" w:cs="仿宋"/>
          <w:color w:val="auto"/>
          <w:sz w:val="36"/>
          <w:szCs w:val="36"/>
        </w:rPr>
        <w:t>二教学楼教师办公室WIFI覆盖建设</w:t>
      </w:r>
      <w:r>
        <w:rPr>
          <w:rFonts w:hint="eastAsia" w:ascii="仿宋" w:hAnsi="仿宋" w:eastAsia="仿宋" w:cs="仿宋"/>
          <w:color w:val="auto"/>
          <w:sz w:val="36"/>
          <w:szCs w:val="36"/>
          <w:lang w:eastAsia="zh-CN"/>
        </w:rPr>
        <w:t>询价采购公告</w:t>
      </w:r>
    </w:p>
    <w:p>
      <w:pPr>
        <w:pStyle w:val="6"/>
        <w:spacing w:after="0"/>
        <w:ind w:left="0" w:leftChars="-200" w:right="-512" w:rightChars="-244" w:hanging="420" w:firstLineChars="0"/>
        <w:jc w:val="center"/>
        <w:rPr>
          <w:rFonts w:hint="eastAsia" w:ascii="仿宋" w:hAnsi="仿宋" w:eastAsia="仿宋" w:cs="仿宋"/>
          <w:color w:val="auto"/>
          <w:sz w:val="21"/>
          <w:szCs w:val="21"/>
          <w:lang w:val="en-US" w:eastAsia="zh-CN"/>
        </w:rPr>
      </w:pPr>
    </w:p>
    <w:p>
      <w:pPr>
        <w:pStyle w:val="6"/>
        <w:keepNext w:val="0"/>
        <w:keepLines w:val="0"/>
        <w:pageBreakBefore w:val="0"/>
        <w:widowControl/>
        <w:kinsoku/>
        <w:wordWrap/>
        <w:overflowPunct/>
        <w:topLinePunct w:val="0"/>
        <w:autoSpaceDE/>
        <w:autoSpaceDN/>
        <w:bidi w:val="0"/>
        <w:adjustRightInd/>
        <w:snapToGrid/>
        <w:spacing w:after="0" w:line="360" w:lineRule="auto"/>
        <w:ind w:firstLine="641"/>
        <w:textAlignment w:val="auto"/>
        <w:outlineLvl w:val="9"/>
        <w:rPr>
          <w:rFonts w:hint="eastAsia" w:ascii="仿宋" w:hAnsi="仿宋" w:eastAsia="仿宋" w:cs="仿宋"/>
          <w:color w:val="auto"/>
        </w:rPr>
      </w:pPr>
      <w:r>
        <w:rPr>
          <w:rFonts w:hint="eastAsia" w:ascii="仿宋" w:hAnsi="仿宋" w:eastAsia="仿宋" w:cs="仿宋"/>
          <w:color w:val="auto"/>
        </w:rPr>
        <w:t>根据重庆市政府采购及重庆市第八中学校招投标相关规定，重庆市第八中学校二教学楼教师办公室WIFI覆盖建设采购项目已通过学校审批程序，现对外公开询价招标。</w:t>
      </w:r>
    </w:p>
    <w:p>
      <w:pPr>
        <w:pStyle w:val="3"/>
        <w:rPr>
          <w:rFonts w:hint="eastAsia" w:ascii="仿宋" w:hAnsi="仿宋" w:eastAsia="仿宋" w:cs="仿宋"/>
          <w:color w:val="auto"/>
          <w:sz w:val="24"/>
          <w:szCs w:val="24"/>
        </w:rPr>
      </w:pPr>
      <w:r>
        <w:rPr>
          <w:rFonts w:hint="eastAsia" w:ascii="仿宋" w:hAnsi="仿宋" w:eastAsia="仿宋" w:cs="仿宋"/>
          <w:color w:val="auto"/>
          <w:sz w:val="24"/>
          <w:szCs w:val="24"/>
        </w:rPr>
        <w:t>一、招标单位：重庆市第八中学校</w:t>
      </w:r>
    </w:p>
    <w:p>
      <w:pPr>
        <w:pStyle w:val="3"/>
        <w:rPr>
          <w:rFonts w:hint="eastAsia" w:ascii="仿宋" w:hAnsi="仿宋" w:eastAsia="仿宋" w:cs="仿宋"/>
          <w:color w:val="auto"/>
          <w:sz w:val="24"/>
          <w:szCs w:val="24"/>
        </w:rPr>
      </w:pPr>
      <w:r>
        <w:rPr>
          <w:rFonts w:hint="eastAsia" w:ascii="仿宋" w:hAnsi="仿宋" w:eastAsia="仿宋" w:cs="仿宋"/>
          <w:color w:val="auto"/>
          <w:sz w:val="24"/>
          <w:szCs w:val="24"/>
        </w:rPr>
        <w:t>二、招标项目及内容</w:t>
      </w:r>
    </w:p>
    <w:p>
      <w:pPr>
        <w:pStyle w:val="6"/>
        <w:keepNext w:val="0"/>
        <w:keepLines w:val="0"/>
        <w:pageBreakBefore w:val="0"/>
        <w:kinsoku/>
        <w:wordWrap/>
        <w:overflowPunct/>
        <w:topLinePunct w:val="0"/>
        <w:autoSpaceDE/>
        <w:autoSpaceDN/>
        <w:bidi w:val="0"/>
        <w:adjustRightInd/>
        <w:spacing w:after="0" w:line="360" w:lineRule="auto"/>
        <w:textAlignment w:val="auto"/>
        <w:outlineLvl w:val="9"/>
        <w:rPr>
          <w:rFonts w:hint="eastAsia" w:ascii="仿宋" w:hAnsi="仿宋" w:eastAsia="仿宋" w:cs="仿宋"/>
          <w:color w:val="auto"/>
        </w:rPr>
      </w:pPr>
      <w:r>
        <w:rPr>
          <w:rFonts w:hint="eastAsia" w:ascii="仿宋" w:hAnsi="仿宋" w:eastAsia="仿宋" w:cs="仿宋"/>
          <w:color w:val="auto"/>
        </w:rPr>
        <w:t>(一)项目内容</w:t>
      </w:r>
    </w:p>
    <w:tbl>
      <w:tblPr>
        <w:tblStyle w:val="9"/>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0"/>
        <w:gridCol w:w="1962"/>
        <w:gridCol w:w="1813"/>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463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196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最高限价</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181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投标保证金</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（元）</w:t>
            </w:r>
          </w:p>
        </w:tc>
        <w:tc>
          <w:tcPr>
            <w:tcW w:w="16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4630"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重庆市第八中学校二教学楼教师办公室WIFI覆盖建设采购项目</w:t>
            </w:r>
          </w:p>
        </w:tc>
        <w:tc>
          <w:tcPr>
            <w:tcW w:w="1962"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5.9</w:t>
            </w:r>
            <w:r>
              <w:rPr>
                <w:rFonts w:hint="eastAsia" w:ascii="仿宋" w:hAnsi="仿宋" w:eastAsia="仿宋" w:cs="仿宋"/>
                <w:color w:val="auto"/>
                <w:sz w:val="24"/>
                <w:szCs w:val="24"/>
              </w:rPr>
              <w:t>0</w:t>
            </w:r>
          </w:p>
        </w:tc>
        <w:tc>
          <w:tcPr>
            <w:tcW w:w="1813"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无</w:t>
            </w:r>
          </w:p>
        </w:tc>
        <w:tc>
          <w:tcPr>
            <w:tcW w:w="1655" w:type="dxa"/>
            <w:vAlign w:val="center"/>
          </w:tcPr>
          <w:p>
            <w:pPr>
              <w:keepNext w:val="0"/>
              <w:keepLines w:val="0"/>
              <w:pageBreakBefore w:val="0"/>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color w:val="auto"/>
                <w:sz w:val="24"/>
                <w:szCs w:val="24"/>
              </w:rPr>
            </w:pPr>
          </w:p>
        </w:tc>
      </w:tr>
    </w:tbl>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textAlignment w:val="auto"/>
        <w:outlineLvl w:val="9"/>
        <w:rPr>
          <w:rFonts w:hint="eastAsia" w:ascii="仿宋" w:hAnsi="仿宋" w:eastAsia="仿宋" w:cs="仿宋"/>
          <w:color w:val="auto"/>
        </w:rPr>
      </w:pPr>
      <w:r>
        <w:rPr>
          <w:rFonts w:hint="eastAsia" w:ascii="仿宋" w:hAnsi="仿宋" w:eastAsia="仿宋" w:cs="仿宋"/>
          <w:color w:val="auto"/>
        </w:rPr>
        <w:t>项目货物名称及技术参数需求</w:t>
      </w:r>
    </w:p>
    <w:tbl>
      <w:tblPr>
        <w:tblStyle w:val="9"/>
        <w:tblW w:w="10076" w:type="dxa"/>
        <w:jc w:val="center"/>
        <w:tblInd w:w="0" w:type="dxa"/>
        <w:tblLayout w:type="fixed"/>
        <w:tblCellMar>
          <w:top w:w="15" w:type="dxa"/>
          <w:left w:w="15" w:type="dxa"/>
          <w:bottom w:w="15" w:type="dxa"/>
          <w:right w:w="15" w:type="dxa"/>
        </w:tblCellMar>
      </w:tblPr>
      <w:tblGrid>
        <w:gridCol w:w="570"/>
        <w:gridCol w:w="2295"/>
        <w:gridCol w:w="734"/>
        <w:gridCol w:w="1080"/>
        <w:gridCol w:w="5397"/>
      </w:tblGrid>
      <w:tr>
        <w:tblPrEx>
          <w:tblLayout w:type="fixed"/>
          <w:tblCellMar>
            <w:top w:w="15" w:type="dxa"/>
            <w:left w:w="15" w:type="dxa"/>
            <w:bottom w:w="15" w:type="dxa"/>
            <w:right w:w="15" w:type="dxa"/>
          </w:tblCellMar>
        </w:tblPrEx>
        <w:trPr>
          <w:trHeight w:val="37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序号</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名称</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单位</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仿宋" w:hAnsi="仿宋" w:eastAsia="仿宋" w:cs="仿宋"/>
                <w:b/>
                <w:color w:val="auto"/>
                <w:sz w:val="21"/>
                <w:szCs w:val="21"/>
              </w:rPr>
            </w:pPr>
            <w:r>
              <w:rPr>
                <w:rFonts w:hint="eastAsia" w:ascii="仿宋" w:hAnsi="仿宋" w:eastAsia="仿宋" w:cs="仿宋"/>
                <w:b/>
                <w:color w:val="auto"/>
                <w:kern w:val="0"/>
                <w:sz w:val="21"/>
                <w:szCs w:val="21"/>
                <w:lang w:bidi="ar"/>
              </w:rPr>
              <w:t xml:space="preserve"> 技术参数 </w:t>
            </w:r>
          </w:p>
        </w:tc>
      </w:tr>
      <w:tr>
        <w:tblPrEx>
          <w:tblLayout w:type="fixed"/>
          <w:tblCellMar>
            <w:top w:w="15" w:type="dxa"/>
            <w:left w:w="15" w:type="dxa"/>
            <w:bottom w:w="15" w:type="dxa"/>
            <w:right w:w="15" w:type="dxa"/>
          </w:tblCellMar>
        </w:tblPrEx>
        <w:trPr>
          <w:trHeight w:val="1233"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kern w:val="0"/>
                <w:sz w:val="21"/>
                <w:szCs w:val="21"/>
                <w:lang w:bidi="ar"/>
              </w:rPr>
              <w:t>1</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全千兆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POE交换机</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台</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outlineLvl w:val="9"/>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1、24个10/100/1000M 自适应 RJ45 端口，2 个千兆光纤端口+1 个 Console 端口；</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2、符合 IEEE 802.</w:t>
            </w:r>
            <w:bookmarkStart w:id="10" w:name="_GoBack"/>
            <w:bookmarkEnd w:id="10"/>
            <w:r>
              <w:rPr>
                <w:rFonts w:hint="eastAsia" w:ascii="仿宋" w:hAnsi="仿宋" w:eastAsia="仿宋" w:cs="仿宋"/>
                <w:i w:val="0"/>
                <w:color w:val="auto"/>
                <w:kern w:val="0"/>
                <w:sz w:val="21"/>
                <w:szCs w:val="21"/>
                <w:u w:val="none"/>
                <w:lang w:val="en-US" w:eastAsia="zh-CN" w:bidi="ar"/>
              </w:rPr>
              <w:t>3、IEEE 802.3u、IEEE802.3x、IEEE802.3ab、IEEE802.3q、IEEE802.3z、IEEE802.3af、IEEE802.3at 标准；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 单 port 功耗可最大支持 30W，总电源功耗最大可以达到 330W；</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4、流控方式：全双工采用 IEEE 802.3x 标准，半双工采用 Backpressure 标准；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5、存储-转发体系结构；</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6、动态 LED 指示灯提供简单的工作状态提示及故障排除；</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7、背板带宽：52G，MAC地址容量：8K，转发速率：39Mbps；</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8、环境参数：工作温度：0ºC～40ºC，存储温度：-40ºC～70ºC，工作湿度：10%～90% RH 不凝结，存储湿度：5%～90% RH 不凝结。</w:t>
            </w:r>
          </w:p>
        </w:tc>
      </w:tr>
      <w:tr>
        <w:tblPrEx>
          <w:tblLayout w:type="fixed"/>
          <w:tblCellMar>
            <w:top w:w="15" w:type="dxa"/>
            <w:left w:w="15" w:type="dxa"/>
            <w:bottom w:w="15" w:type="dxa"/>
            <w:right w:w="15" w:type="dxa"/>
          </w:tblCellMar>
        </w:tblPrEx>
        <w:trPr>
          <w:trHeight w:val="39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kern w:val="0"/>
                <w:sz w:val="21"/>
                <w:szCs w:val="21"/>
                <w:lang w:bidi="ar"/>
              </w:rPr>
              <w:t>2</w:t>
            </w: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光模块</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块</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outlineLvl w:val="9"/>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 xml:space="preserve">10/100/1000M 自适应（AP直连科技楼中心机房） </w:t>
            </w:r>
          </w:p>
        </w:tc>
      </w:tr>
      <w:tr>
        <w:tblPrEx>
          <w:tblLayout w:type="fixed"/>
          <w:tblCellMar>
            <w:top w:w="15" w:type="dxa"/>
            <w:left w:w="15" w:type="dxa"/>
            <w:bottom w:w="15" w:type="dxa"/>
            <w:right w:w="15" w:type="dxa"/>
          </w:tblCellMar>
        </w:tblPrEx>
        <w:trPr>
          <w:trHeight w:val="4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kern w:val="0"/>
                <w:sz w:val="21"/>
                <w:szCs w:val="21"/>
                <w:lang w:bidi="ar"/>
              </w:rPr>
              <w:t>3</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专业级千兆</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双频吸顶式AP</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台</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outlineLvl w:val="9"/>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1、提供一个10/100/1000MbpsRJ45WAN口和两个10/100/1000MbpsRJ45LAN口，提供1个电源端口，1个USB接口，支持USB3G网卡；</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2、支持双频并发技术：2.4G&amp;5G双频并发，速度更快（天线规格：2.4G: 内置天线3根，5G: 内置天线2根）；</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3、支持802.311a/b/g/n/ac无线标准，无线速率最高可达1.3Gbps；</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4、多重无线抗干扰设计，保障信号质量，内置全向天线，有效提高覆盖区域无线信号质量，发射功率线性可调，可调节发射功率以适应不同环境；</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5、安全加密，网络防护：提供64/128-bitWEP、WPA/WPA2、WPA-PSK/WPA2-PSK等加密与安全机制,保障网络安全；</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6、支持四种模式，灵活组网：</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6.1、AP模式：（默认模式）设备通过有线连接上级网络设备，客户端通过无线连接本设备，实现无线覆盖；</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6.2、桥接/中继模式：多个AP之间相互扫描并添加对方的无线网络来完成无线桥接，实现无线网络覆盖和扩展。</w:t>
            </w:r>
          </w:p>
        </w:tc>
      </w:tr>
      <w:tr>
        <w:tblPrEx>
          <w:tblLayout w:type="fixed"/>
          <w:tblCellMar>
            <w:top w:w="15" w:type="dxa"/>
            <w:left w:w="15" w:type="dxa"/>
            <w:bottom w:w="15" w:type="dxa"/>
            <w:right w:w="15" w:type="dxa"/>
          </w:tblCellMar>
        </w:tblPrEx>
        <w:trPr>
          <w:trHeight w:val="132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kern w:val="0"/>
                <w:sz w:val="21"/>
                <w:szCs w:val="21"/>
                <w:lang w:bidi="ar"/>
              </w:rPr>
              <w:t>4</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AC控制器</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台</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outlineLvl w:val="9"/>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1、 超强的行为管理功能：</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封迅雷、堵游戏、过滤开心网、管控QQ闲聊引导合理上网......提供全面的专业上网行</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为管理功能。通过IP分组和时间组的设置，您可以建立更灵活、更人性化的管理规则，帮助您用好网络，管好网络，提高工作效率；</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2、智能流量控制：</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维盟智能流控能分析网络中活动主机的各种情况，对宽带进行自动调整网络繁忙时小包，优先，保证其他用户顺畅上网；网络空闲时，分段允许用户突破限速进行高速下载，有效利用网络资源。</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全新的QOS架构在原QOS上速度提高5倍，网页更加顺畅。全新流控模块，突破到网络七层，可指定应用程序进行管理，限制和限速；</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3、多WAN接入：</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带宽叠加：同时接入4条广域网，采用多线程工具，可以达到叠加后的网络速度；</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线路备份：当主线路掉线后，备用线路顶替工作，保证网络畅通；</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线路分流：可依据来源IP、目的IP、来源端口、目的端口、域名进行线路分配；</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策略路由：同时接入电信、新联通等不同运营商，解决互联网南北电信的尴尬；</w:t>
            </w:r>
            <w:r>
              <w:rPr>
                <w:rFonts w:hint="eastAsia" w:ascii="仿宋" w:hAnsi="仿宋" w:eastAsia="仿宋" w:cs="仿宋"/>
                <w:i w:val="0"/>
                <w:color w:val="auto"/>
                <w:kern w:val="0"/>
                <w:sz w:val="21"/>
                <w:szCs w:val="21"/>
                <w:u w:val="none"/>
                <w:lang w:val="en-US" w:eastAsia="zh-CN" w:bidi="ar"/>
              </w:rPr>
              <w:br w:type="textWrapping"/>
            </w:r>
            <w:r>
              <w:rPr>
                <w:rFonts w:hint="eastAsia" w:ascii="仿宋" w:hAnsi="仿宋" w:eastAsia="仿宋" w:cs="仿宋"/>
                <w:i w:val="0"/>
                <w:color w:val="auto"/>
                <w:kern w:val="0"/>
                <w:sz w:val="21"/>
                <w:szCs w:val="21"/>
                <w:u w:val="none"/>
                <w:lang w:val="en-US" w:eastAsia="zh-CN" w:bidi="ar"/>
              </w:rPr>
              <w:t>4、广域网WAN端口：4个100/1000M自适应RJ45，局域网LAN端口：1个100/1000M自适应RJ45；标准带机量：200台。</w:t>
            </w:r>
          </w:p>
        </w:tc>
      </w:tr>
      <w:tr>
        <w:tblPrEx>
          <w:tblLayout w:type="fixed"/>
          <w:tblCellMar>
            <w:top w:w="15" w:type="dxa"/>
            <w:left w:w="15" w:type="dxa"/>
            <w:bottom w:w="15" w:type="dxa"/>
            <w:right w:w="15" w:type="dxa"/>
          </w:tblCellMar>
        </w:tblPrEx>
        <w:trPr>
          <w:trHeight w:val="36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仿宋" w:hAnsi="仿宋" w:eastAsia="仿宋" w:cs="仿宋"/>
                <w:bCs/>
                <w:color w:val="auto"/>
                <w:sz w:val="21"/>
                <w:szCs w:val="21"/>
              </w:rPr>
            </w:pPr>
            <w:r>
              <w:rPr>
                <w:rFonts w:hint="eastAsia" w:ascii="仿宋" w:hAnsi="仿宋" w:eastAsia="仿宋" w:cs="仿宋"/>
                <w:bCs/>
                <w:color w:val="auto"/>
                <w:kern w:val="0"/>
                <w:sz w:val="21"/>
                <w:szCs w:val="21"/>
                <w:lang w:bidi="ar"/>
              </w:rPr>
              <w:t>5</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非屏蔽双绞线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箱</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outlineLvl w:val="9"/>
              <w:rPr>
                <w:rFonts w:hint="eastAsia" w:ascii="仿宋" w:hAnsi="仿宋" w:eastAsia="仿宋" w:cs="仿宋"/>
                <w:bCs/>
                <w:color w:val="auto"/>
                <w:sz w:val="21"/>
                <w:szCs w:val="21"/>
              </w:rPr>
            </w:pPr>
            <w:r>
              <w:rPr>
                <w:rFonts w:hint="eastAsia" w:ascii="仿宋" w:hAnsi="仿宋" w:eastAsia="仿宋" w:cs="仿宋"/>
                <w:i w:val="0"/>
                <w:color w:val="auto"/>
                <w:kern w:val="0"/>
                <w:sz w:val="21"/>
                <w:szCs w:val="21"/>
                <w:u w:val="none"/>
                <w:lang w:val="en-US" w:eastAsia="zh-CN" w:bidi="ar"/>
              </w:rPr>
              <w:t>国标铜线</w:t>
            </w:r>
          </w:p>
        </w:tc>
      </w:tr>
      <w:tr>
        <w:tblPrEx>
          <w:tblLayout w:type="fixed"/>
          <w:tblCellMar>
            <w:top w:w="15" w:type="dxa"/>
            <w:left w:w="15" w:type="dxa"/>
            <w:bottom w:w="15" w:type="dxa"/>
            <w:right w:w="15" w:type="dxa"/>
          </w:tblCellMar>
        </w:tblPrEx>
        <w:trPr>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仿宋" w:hAnsi="仿宋" w:eastAsia="仿宋" w:cs="仿宋"/>
                <w:bCs/>
                <w:color w:val="auto"/>
                <w:kern w:val="0"/>
                <w:sz w:val="21"/>
                <w:szCs w:val="21"/>
                <w:lang w:bidi="ar"/>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电源线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圈</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outlineLvl w:val="9"/>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国标铜线</w:t>
            </w:r>
          </w:p>
        </w:tc>
      </w:tr>
      <w:tr>
        <w:tblPrEx>
          <w:tblLayout w:type="fixed"/>
          <w:tblCellMar>
            <w:top w:w="15" w:type="dxa"/>
            <w:left w:w="15" w:type="dxa"/>
            <w:bottom w:w="15" w:type="dxa"/>
            <w:right w:w="15" w:type="dxa"/>
          </w:tblCellMar>
        </w:tblPrEx>
        <w:trPr>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仿宋" w:hAnsi="仿宋" w:eastAsia="仿宋" w:cs="仿宋"/>
                <w:bCs/>
                <w:color w:val="auto"/>
                <w:kern w:val="0"/>
                <w:sz w:val="21"/>
                <w:szCs w:val="21"/>
                <w:lang w:bidi="ar"/>
              </w:rPr>
            </w:pPr>
          </w:p>
        </w:tc>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PVC管材及配件</w:t>
            </w: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批</w:t>
            </w:r>
          </w:p>
        </w:tc>
        <w:tc>
          <w:tcPr>
            <w:tcW w:w="5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outlineLvl w:val="9"/>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厚型、阻燃、防水、可冷弯。</w:t>
            </w:r>
          </w:p>
        </w:tc>
      </w:tr>
      <w:tr>
        <w:tblPrEx>
          <w:tblLayout w:type="fixed"/>
          <w:tblCellMar>
            <w:top w:w="15" w:type="dxa"/>
            <w:left w:w="15" w:type="dxa"/>
            <w:bottom w:w="15" w:type="dxa"/>
            <w:right w:w="15" w:type="dxa"/>
          </w:tblCellMar>
        </w:tblPrEx>
        <w:trPr>
          <w:trHeight w:val="57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仿宋" w:hAnsi="仿宋" w:eastAsia="仿宋" w:cs="仿宋"/>
                <w:bCs/>
                <w:color w:val="auto"/>
                <w:kern w:val="0"/>
                <w:sz w:val="21"/>
                <w:szCs w:val="21"/>
                <w:lang w:bidi="ar"/>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其它辅材</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批</w:t>
            </w:r>
          </w:p>
        </w:tc>
        <w:tc>
          <w:tcPr>
            <w:tcW w:w="5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center"/>
              <w:outlineLvl w:val="9"/>
              <w:rPr>
                <w:rFonts w:hint="eastAsia" w:ascii="仿宋" w:hAnsi="仿宋" w:eastAsia="仿宋" w:cs="仿宋"/>
                <w:bCs/>
                <w:color w:val="auto"/>
                <w:kern w:val="0"/>
                <w:sz w:val="21"/>
                <w:szCs w:val="21"/>
                <w:lang w:bidi="ar"/>
              </w:rPr>
            </w:pPr>
            <w:r>
              <w:rPr>
                <w:rFonts w:hint="eastAsia" w:ascii="仿宋" w:hAnsi="仿宋" w:eastAsia="仿宋" w:cs="仿宋"/>
                <w:i w:val="0"/>
                <w:color w:val="auto"/>
                <w:kern w:val="0"/>
                <w:sz w:val="21"/>
                <w:szCs w:val="21"/>
                <w:u w:val="none"/>
                <w:lang w:val="en-US" w:eastAsia="zh-CN" w:bidi="ar"/>
              </w:rPr>
              <w:t>无氧铜镀金水晶头、各型接线端子、塑胶扎带、机打标签、绕线管、电工胶带、膨胀钉、标件锣丝、手孔井、公牛线板及插头插座等工程施工辅材。</w:t>
            </w:r>
          </w:p>
        </w:tc>
      </w:tr>
    </w:tbl>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三、完成时间</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签订合同后</w:t>
      </w:r>
      <w:r>
        <w:rPr>
          <w:rFonts w:hint="eastAsia" w:ascii="仿宋" w:hAnsi="仿宋" w:eastAsia="仿宋" w:cs="仿宋"/>
          <w:b/>
          <w:color w:val="auto"/>
          <w:lang w:val="en-US" w:eastAsia="zh-CN"/>
        </w:rPr>
        <w:t>2</w:t>
      </w:r>
      <w:r>
        <w:rPr>
          <w:rFonts w:hint="eastAsia" w:ascii="仿宋" w:hAnsi="仿宋" w:eastAsia="仿宋" w:cs="仿宋"/>
          <w:b/>
          <w:color w:val="auto"/>
        </w:rPr>
        <w:t>0个</w:t>
      </w:r>
      <w:r>
        <w:rPr>
          <w:rFonts w:hint="eastAsia" w:ascii="仿宋" w:hAnsi="仿宋" w:eastAsia="仿宋" w:cs="仿宋"/>
          <w:bCs/>
          <w:color w:val="auto"/>
        </w:rPr>
        <w:t>日历日</w:t>
      </w:r>
      <w:r>
        <w:rPr>
          <w:rFonts w:hint="eastAsia" w:ascii="仿宋" w:hAnsi="仿宋" w:eastAsia="仿宋" w:cs="仿宋"/>
          <w:color w:val="auto"/>
        </w:rPr>
        <w:t>内完成，包括系统设备安装及调试时间。</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四、投标资质要求</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1、具有独立承担民事责任的能力,提供单位营业执照、税务登记证、组织机构代码证复印件（已三证合一的，只提供营业执照）、投标人法定代表人身份证明和法定代表人授权代表委托书、法定代表人授权代表在投标单位缴纳社会保障金证明材料；</w:t>
      </w:r>
    </w:p>
    <w:p>
      <w:pPr>
        <w:pStyle w:val="6"/>
        <w:pageBreakBefore w:val="0"/>
        <w:kinsoku/>
        <w:wordWrap/>
        <w:overflowPunct/>
        <w:topLinePunct w:val="0"/>
        <w:autoSpaceDE/>
        <w:autoSpaceDN/>
        <w:bidi w:val="0"/>
        <w:adjustRightInd/>
        <w:spacing w:after="0" w:line="324"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2、具有良好的商业信誉和健全的财务会计制度；</w:t>
      </w:r>
    </w:p>
    <w:p>
      <w:pPr>
        <w:pStyle w:val="6"/>
        <w:pageBreakBefore w:val="0"/>
        <w:kinsoku/>
        <w:wordWrap/>
        <w:overflowPunct/>
        <w:topLinePunct w:val="0"/>
        <w:autoSpaceDE/>
        <w:autoSpaceDN/>
        <w:bidi w:val="0"/>
        <w:adjustRightInd/>
        <w:spacing w:after="0" w:line="324"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3、具有履行合同所必需的设备和专业技术能力；</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4、有依法缴纳税收和社会保障资金的良好记录；</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5、参加政府采购活动近三年内，在经营活动中没有重大违法记录。</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五、招标文件的获取</w:t>
      </w:r>
    </w:p>
    <w:p>
      <w:pPr>
        <w:pStyle w:val="6"/>
        <w:pageBreakBefore w:val="0"/>
        <w:kinsoku/>
        <w:wordWrap/>
        <w:overflowPunct/>
        <w:topLinePunct w:val="0"/>
        <w:autoSpaceDE/>
        <w:autoSpaceDN/>
        <w:bidi w:val="0"/>
        <w:adjustRightInd/>
        <w:spacing w:after="0" w:line="324" w:lineRule="auto"/>
        <w:ind w:firstLine="120" w:firstLineChars="50"/>
        <w:jc w:val="both"/>
        <w:textAlignment w:val="auto"/>
        <w:rPr>
          <w:rFonts w:hint="eastAsia" w:ascii="仿宋" w:hAnsi="仿宋" w:eastAsia="仿宋" w:cs="仿宋"/>
          <w:color w:val="auto"/>
        </w:rPr>
      </w:pPr>
      <w:r>
        <w:rPr>
          <w:rFonts w:hint="eastAsia" w:ascii="仿宋" w:hAnsi="仿宋" w:eastAsia="仿宋" w:cs="仿宋"/>
          <w:color w:val="auto"/>
        </w:rPr>
        <w:t>通过我校网站（http://www.cqbz.cn）通知公告栏进行下载。</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六、投标书递交 </w:t>
      </w:r>
    </w:p>
    <w:p>
      <w:pPr>
        <w:pStyle w:val="6"/>
        <w:pageBreakBefore w:val="0"/>
        <w:kinsoku/>
        <w:wordWrap/>
        <w:overflowPunct/>
        <w:topLinePunct w:val="0"/>
        <w:autoSpaceDE/>
        <w:autoSpaceDN/>
        <w:bidi w:val="0"/>
        <w:adjustRightInd/>
        <w:spacing w:after="0" w:line="324"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rPr>
        <w:t>1、各投标人应认真阅读各项技术要求，认真测算后进行报价。所报价格含产品制造成本、运输、安装、税费和维保等全部费用。对我校采购物资除填写投标报价单外必须拟定售后服务方案。本工程为交钥匙工程，包括所有设备的运输、安装、调试及相关耗材，质保期至少</w:t>
      </w:r>
      <w:r>
        <w:rPr>
          <w:rFonts w:hint="eastAsia" w:ascii="仿宋" w:hAnsi="仿宋" w:eastAsia="仿宋" w:cs="仿宋"/>
          <w:b/>
          <w:bCs/>
          <w:color w:val="auto"/>
        </w:rPr>
        <w:t>3</w:t>
      </w:r>
      <w:r>
        <w:rPr>
          <w:rFonts w:hint="eastAsia" w:ascii="仿宋" w:hAnsi="仿宋" w:eastAsia="仿宋" w:cs="仿宋"/>
          <w:color w:val="auto"/>
        </w:rPr>
        <w:t>年。</w:t>
      </w:r>
    </w:p>
    <w:p>
      <w:pPr>
        <w:pStyle w:val="6"/>
        <w:pageBreakBefore w:val="0"/>
        <w:widowControl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 xml:space="preserve">2、投标文件应用文件袋密封，封袋接口处均应贴封条，并加盖单位公章。同时应在封袋上写明投标单位名称。 </w:t>
      </w:r>
    </w:p>
    <w:p>
      <w:pPr>
        <w:pStyle w:val="6"/>
        <w:pageBreakBefore w:val="0"/>
        <w:widowControl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 xml:space="preserve">3、投标人应在投标截止时间内将投标文件送达发标方指定地点，过时送达拒收。 </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七、评标办法</w:t>
      </w:r>
    </w:p>
    <w:p>
      <w:pPr>
        <w:pStyle w:val="6"/>
        <w:pageBreakBefore w:val="0"/>
        <w:widowControl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 xml:space="preserve">学校招标领导小组根据投标单位的投标报价、服务承诺情况、所投产品性能参数的响应情况等因素，确定中标单位。 </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八、投标时间和投标地点</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投标时间：</w:t>
      </w:r>
      <w:r>
        <w:rPr>
          <w:rFonts w:hint="eastAsia" w:ascii="仿宋" w:hAnsi="仿宋" w:eastAsia="仿宋" w:cs="仿宋"/>
          <w:color w:val="auto"/>
          <w:szCs w:val="21"/>
        </w:rPr>
        <w:t>2018年</w:t>
      </w:r>
      <w:r>
        <w:rPr>
          <w:rFonts w:hint="eastAsia" w:ascii="仿宋" w:hAnsi="仿宋" w:eastAsia="仿宋" w:cs="仿宋"/>
          <w:color w:val="auto"/>
          <w:szCs w:val="21"/>
          <w:lang w:val="en-US" w:eastAsia="zh-CN"/>
        </w:rPr>
        <w:t>9</w:t>
      </w:r>
      <w:r>
        <w:rPr>
          <w:rFonts w:hint="eastAsia" w:ascii="仿宋" w:hAnsi="仿宋" w:eastAsia="仿宋" w:cs="仿宋"/>
          <w:color w:val="auto"/>
          <w:szCs w:val="21"/>
        </w:rPr>
        <w:t>月</w:t>
      </w:r>
      <w:r>
        <w:rPr>
          <w:rFonts w:hint="eastAsia" w:ascii="仿宋" w:hAnsi="仿宋" w:eastAsia="仿宋" w:cs="仿宋"/>
          <w:color w:val="auto"/>
          <w:szCs w:val="21"/>
          <w:lang w:val="en-US" w:eastAsia="zh-CN"/>
        </w:rPr>
        <w:t>27</w:t>
      </w:r>
      <w:r>
        <w:rPr>
          <w:rFonts w:hint="eastAsia" w:ascii="仿宋" w:hAnsi="仿宋" w:eastAsia="仿宋" w:cs="仿宋"/>
          <w:color w:val="auto"/>
          <w:szCs w:val="21"/>
        </w:rPr>
        <w:t>日14:30~16:00（北京时间）</w:t>
      </w:r>
    </w:p>
    <w:p>
      <w:pPr>
        <w:pageBreakBefore w:val="0"/>
        <w:kinsoku/>
        <w:wordWrap/>
        <w:overflowPunct/>
        <w:topLinePunct w:val="0"/>
        <w:autoSpaceDE/>
        <w:autoSpaceDN/>
        <w:bidi w:val="0"/>
        <w:adjustRightInd/>
        <w:spacing w:line="324" w:lineRule="auto"/>
        <w:ind w:firstLine="480" w:firstLineChars="200"/>
        <w:textAlignment w:val="auto"/>
        <w:rPr>
          <w:rFonts w:hint="eastAsia" w:ascii="仿宋" w:hAnsi="仿宋" w:eastAsia="仿宋" w:cs="仿宋"/>
          <w:color w:val="auto"/>
        </w:rPr>
      </w:pPr>
      <w:r>
        <w:rPr>
          <w:rFonts w:hint="eastAsia" w:ascii="仿宋" w:hAnsi="仿宋" w:eastAsia="仿宋" w:cs="仿宋"/>
          <w:color w:val="auto"/>
          <w:sz w:val="24"/>
          <w:szCs w:val="24"/>
        </w:rPr>
        <w:t>投标地点：</w:t>
      </w:r>
      <w:r>
        <w:rPr>
          <w:rFonts w:hint="eastAsia" w:ascii="仿宋" w:hAnsi="仿宋" w:eastAsia="仿宋" w:cs="仿宋"/>
          <w:color w:val="auto"/>
          <w:kern w:val="0"/>
          <w:sz w:val="24"/>
          <w:szCs w:val="21"/>
        </w:rPr>
        <w:t>重庆市第八中学校</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lang w:eastAsia="zh-CN"/>
        </w:rPr>
        <w:t>谢</w:t>
      </w:r>
      <w:r>
        <w:rPr>
          <w:rFonts w:hint="eastAsia" w:ascii="仿宋" w:hAnsi="仿宋" w:eastAsia="仿宋" w:cs="仿宋"/>
          <w:color w:val="auto"/>
        </w:rPr>
        <w:t>老师</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lang w:val="en-US" w:eastAsia="zh-CN"/>
        </w:rPr>
      </w:pPr>
      <w:r>
        <w:rPr>
          <w:rFonts w:hint="eastAsia" w:ascii="仿宋" w:hAnsi="仿宋" w:eastAsia="仿宋" w:cs="仿宋"/>
          <w:color w:val="auto"/>
        </w:rPr>
        <w:t>联系电话：023-6</w:t>
      </w:r>
      <w:r>
        <w:rPr>
          <w:rFonts w:hint="eastAsia" w:ascii="仿宋" w:hAnsi="仿宋" w:eastAsia="仿宋" w:cs="仿宋"/>
          <w:color w:val="auto"/>
          <w:lang w:val="en-US" w:eastAsia="zh-CN"/>
        </w:rPr>
        <w:t>5013045</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九、付款方式：</w:t>
      </w:r>
    </w:p>
    <w:p>
      <w:pPr>
        <w:pStyle w:val="6"/>
        <w:pageBreakBefore w:val="0"/>
        <w:kinsoku/>
        <w:wordWrap/>
        <w:overflowPunct/>
        <w:topLinePunct w:val="0"/>
        <w:autoSpaceDE/>
        <w:autoSpaceDN/>
        <w:bidi w:val="0"/>
        <w:adjustRightInd/>
        <w:spacing w:after="0" w:line="324" w:lineRule="auto"/>
        <w:ind w:firstLine="480" w:firstLineChars="200"/>
        <w:jc w:val="both"/>
        <w:textAlignment w:val="auto"/>
        <w:rPr>
          <w:rFonts w:hint="eastAsia" w:ascii="仿宋" w:hAnsi="仿宋" w:eastAsia="仿宋" w:cs="仿宋"/>
          <w:color w:val="auto"/>
        </w:rPr>
      </w:pPr>
      <w:r>
        <w:rPr>
          <w:rFonts w:hint="eastAsia" w:ascii="仿宋" w:hAnsi="仿宋" w:eastAsia="仿宋" w:cs="仿宋"/>
          <w:color w:val="auto"/>
        </w:rPr>
        <w:t xml:space="preserve">施工验收合格后，供货方开具正式发票，校方将按双方合同约定付款； </w:t>
      </w:r>
    </w:p>
    <w:p>
      <w:pPr>
        <w:pStyle w:val="3"/>
        <w:pageBreakBefore w:val="0"/>
        <w:kinsoku/>
        <w:wordWrap/>
        <w:overflowPunct/>
        <w:topLinePunct w:val="0"/>
        <w:autoSpaceDE/>
        <w:autoSpaceDN/>
        <w:bidi w:val="0"/>
        <w:adjustRightInd/>
        <w:spacing w:before="0" w:after="0" w:line="324"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十、投标文件的编制内容及格式</w:t>
      </w:r>
    </w:p>
    <w:p>
      <w:pPr>
        <w:pStyle w:val="6"/>
        <w:pageBreakBefore w:val="0"/>
        <w:kinsoku/>
        <w:wordWrap/>
        <w:overflowPunct/>
        <w:topLinePunct w:val="0"/>
        <w:autoSpaceDE/>
        <w:autoSpaceDN/>
        <w:bidi w:val="0"/>
        <w:adjustRightInd/>
        <w:spacing w:after="0" w:line="324" w:lineRule="auto"/>
        <w:jc w:val="both"/>
        <w:textAlignment w:val="auto"/>
        <w:rPr>
          <w:rFonts w:hint="eastAsia" w:ascii="仿宋" w:hAnsi="仿宋" w:eastAsia="仿宋" w:cs="仿宋"/>
          <w:color w:val="auto"/>
        </w:rPr>
      </w:pPr>
      <w:r>
        <w:rPr>
          <w:rFonts w:hint="eastAsia" w:ascii="仿宋" w:hAnsi="仿宋" w:eastAsia="仿宋" w:cs="仿宋"/>
          <w:color w:val="auto"/>
        </w:rPr>
        <w:t>（一）投标文件编制内容</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1、报价明细表（附格式）。</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2、有效的营业执照副本复印件、有效的税务登记证副本复印件、有效的组织机构代码证复印件；（原件备查）</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3、法定代表人身份证明书（附格式）；</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4、法定代表人授权委托书（附格式）；</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5、诚信声明（附格式）；</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6、投标函（附格式）；</w:t>
      </w:r>
    </w:p>
    <w:p>
      <w:pPr>
        <w:pageBreakBefore w:val="0"/>
        <w:kinsoku/>
        <w:wordWrap/>
        <w:overflowPunct/>
        <w:topLinePunct w:val="0"/>
        <w:autoSpaceDE/>
        <w:autoSpaceDN/>
        <w:bidi w:val="0"/>
        <w:adjustRightInd/>
        <w:snapToGrid w:val="0"/>
        <w:spacing w:line="324"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7、售后服务方案（格式自拟）。</w:t>
      </w:r>
    </w:p>
    <w:p>
      <w:pPr>
        <w:snapToGrid w:val="0"/>
        <w:spacing w:line="440" w:lineRule="exact"/>
        <w:ind w:firstLine="480" w:firstLineChars="200"/>
        <w:rPr>
          <w:rFonts w:hint="eastAsia" w:ascii="仿宋" w:hAnsi="仿宋" w:eastAsia="仿宋" w:cs="仿宋"/>
          <w:color w:val="auto"/>
          <w:sz w:val="24"/>
          <w:szCs w:val="24"/>
        </w:rPr>
      </w:pPr>
    </w:p>
    <w:p>
      <w:pPr>
        <w:widowControl/>
        <w:jc w:val="left"/>
        <w:rPr>
          <w:rFonts w:hint="eastAsia" w:ascii="仿宋" w:hAnsi="仿宋" w:eastAsia="仿宋" w:cs="仿宋"/>
          <w:color w:val="auto"/>
          <w:sz w:val="24"/>
          <w:szCs w:val="24"/>
        </w:rPr>
      </w:pPr>
      <w:bookmarkStart w:id="0" w:name="_Toc161727399"/>
      <w:r>
        <w:rPr>
          <w:rFonts w:hint="eastAsia" w:ascii="仿宋" w:hAnsi="仿宋" w:eastAsia="仿宋" w:cs="仿宋"/>
          <w:color w:val="auto"/>
          <w:sz w:val="24"/>
          <w:szCs w:val="24"/>
        </w:rPr>
        <w:br w:type="page"/>
      </w:r>
    </w:p>
    <w:p>
      <w:pPr>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（二）投标文件格式</w:t>
      </w:r>
    </w:p>
    <w:p>
      <w:pPr>
        <w:snapToGrid w:val="0"/>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1、分项报价明细表</w:t>
      </w:r>
      <w:bookmarkEnd w:id="0"/>
      <w:r>
        <w:rPr>
          <w:rFonts w:hint="eastAsia" w:ascii="仿宋" w:hAnsi="仿宋" w:eastAsia="仿宋" w:cs="仿宋"/>
          <w:color w:val="auto"/>
          <w:sz w:val="24"/>
          <w:szCs w:val="24"/>
        </w:rPr>
        <w:t>（格式）</w:t>
      </w: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采购项目名称：</w:t>
      </w:r>
    </w:p>
    <w:tbl>
      <w:tblPr>
        <w:tblStyle w:val="9"/>
        <w:tblW w:w="8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249"/>
        <w:gridCol w:w="4157"/>
        <w:gridCol w:w="780"/>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exact"/>
          <w:jc w:val="center"/>
        </w:trPr>
        <w:tc>
          <w:tcPr>
            <w:tcW w:w="609" w:type="dxa"/>
            <w:vAlign w:val="center"/>
          </w:tcPr>
          <w:p>
            <w:pPr>
              <w:spacing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249" w:type="dxa"/>
            <w:vAlign w:val="center"/>
          </w:tcPr>
          <w:p>
            <w:pPr>
              <w:spacing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名称</w:t>
            </w:r>
          </w:p>
        </w:tc>
        <w:tc>
          <w:tcPr>
            <w:tcW w:w="4157" w:type="dxa"/>
            <w:vAlign w:val="center"/>
          </w:tcPr>
          <w:p>
            <w:pPr>
              <w:spacing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相关信息（品牌、规格型号、制造商、产地等）</w:t>
            </w:r>
          </w:p>
        </w:tc>
        <w:tc>
          <w:tcPr>
            <w:tcW w:w="780" w:type="dxa"/>
            <w:vAlign w:val="center"/>
          </w:tcPr>
          <w:p>
            <w:pPr>
              <w:spacing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数量</w:t>
            </w:r>
          </w:p>
        </w:tc>
        <w:tc>
          <w:tcPr>
            <w:tcW w:w="879" w:type="dxa"/>
            <w:vAlign w:val="center"/>
          </w:tcPr>
          <w:p>
            <w:pPr>
              <w:spacing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综合单价</w:t>
            </w:r>
          </w:p>
        </w:tc>
        <w:tc>
          <w:tcPr>
            <w:tcW w:w="879" w:type="dxa"/>
            <w:vAlign w:val="center"/>
          </w:tcPr>
          <w:p>
            <w:pPr>
              <w:spacing w:line="2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tcPr>
          <w:p>
            <w:pPr>
              <w:jc w:val="center"/>
              <w:outlineLvl w:val="0"/>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249" w:type="dxa"/>
          </w:tcPr>
          <w:p>
            <w:pPr>
              <w:jc w:val="center"/>
              <w:rPr>
                <w:rFonts w:hint="eastAsia" w:ascii="仿宋" w:hAnsi="仿宋" w:eastAsia="仿宋" w:cs="仿宋"/>
                <w:color w:val="auto"/>
                <w:sz w:val="24"/>
                <w:szCs w:val="24"/>
              </w:rPr>
            </w:pPr>
          </w:p>
        </w:tc>
        <w:tc>
          <w:tcPr>
            <w:tcW w:w="4157" w:type="dxa"/>
          </w:tcPr>
          <w:p>
            <w:pPr>
              <w:jc w:val="center"/>
              <w:rPr>
                <w:rFonts w:hint="eastAsia" w:ascii="仿宋" w:hAnsi="仿宋" w:eastAsia="仿宋" w:cs="仿宋"/>
                <w:color w:val="auto"/>
                <w:sz w:val="24"/>
                <w:szCs w:val="24"/>
              </w:rPr>
            </w:pPr>
          </w:p>
        </w:tc>
        <w:tc>
          <w:tcPr>
            <w:tcW w:w="780"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c>
          <w:tcPr>
            <w:tcW w:w="879" w:type="dxa"/>
          </w:tcPr>
          <w:p>
            <w:pPr>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jc w:val="center"/>
        </w:trPr>
        <w:tc>
          <w:tcPr>
            <w:tcW w:w="609" w:type="dxa"/>
            <w:vAlign w:val="center"/>
          </w:tcPr>
          <w:p>
            <w:pPr>
              <w:jc w:val="center"/>
              <w:outlineLvl w:val="0"/>
              <w:rPr>
                <w:rFonts w:hint="eastAsia" w:ascii="仿宋" w:hAnsi="仿宋" w:eastAsia="仿宋" w:cs="仿宋"/>
                <w:color w:val="auto"/>
                <w:sz w:val="24"/>
                <w:szCs w:val="24"/>
              </w:rPr>
            </w:pPr>
          </w:p>
        </w:tc>
        <w:tc>
          <w:tcPr>
            <w:tcW w:w="1249" w:type="dxa"/>
            <w:vAlign w:val="center"/>
          </w:tcPr>
          <w:p>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总计</w:t>
            </w:r>
          </w:p>
        </w:tc>
        <w:tc>
          <w:tcPr>
            <w:tcW w:w="6695" w:type="dxa"/>
            <w:gridSpan w:val="4"/>
            <w:vAlign w:val="center"/>
          </w:tcPr>
          <w:p>
            <w:pPr>
              <w:jc w:val="center"/>
              <w:rPr>
                <w:rFonts w:hint="eastAsia" w:ascii="仿宋" w:hAnsi="仿宋" w:eastAsia="仿宋" w:cs="仿宋"/>
                <w:color w:val="auto"/>
                <w:sz w:val="24"/>
                <w:szCs w:val="24"/>
              </w:rPr>
            </w:pPr>
          </w:p>
        </w:tc>
      </w:tr>
    </w:tbl>
    <w:p>
      <w:pPr>
        <w:spacing w:line="500" w:lineRule="exact"/>
        <w:ind w:firstLine="480" w:firstLineChars="200"/>
        <w:rPr>
          <w:rFonts w:hint="eastAsia" w:ascii="仿宋" w:hAnsi="仿宋" w:eastAsia="仿宋" w:cs="仿宋"/>
          <w:color w:val="auto"/>
          <w:sz w:val="24"/>
          <w:szCs w:val="24"/>
        </w:rPr>
      </w:pPr>
    </w:p>
    <w:p>
      <w:pPr>
        <w:spacing w:line="500" w:lineRule="exact"/>
        <w:ind w:firstLine="480" w:firstLineChars="200"/>
        <w:rPr>
          <w:rFonts w:hint="eastAsia" w:ascii="仿宋" w:hAnsi="仿宋" w:eastAsia="仿宋" w:cs="仿宋"/>
          <w:color w:val="auto"/>
          <w:sz w:val="24"/>
          <w:szCs w:val="24"/>
        </w:rPr>
      </w:pPr>
    </w:p>
    <w:p>
      <w:pPr>
        <w:spacing w:line="500" w:lineRule="exact"/>
        <w:ind w:firstLine="600" w:firstLineChars="250"/>
        <w:rPr>
          <w:rFonts w:hint="eastAsia" w:ascii="仿宋" w:hAnsi="仿宋" w:eastAsia="仿宋" w:cs="仿宋"/>
          <w:color w:val="auto"/>
          <w:sz w:val="24"/>
          <w:szCs w:val="24"/>
        </w:rPr>
      </w:pPr>
      <w:r>
        <w:rPr>
          <w:rFonts w:hint="eastAsia" w:ascii="仿宋" w:hAnsi="仿宋" w:eastAsia="仿宋" w:cs="仿宋"/>
          <w:color w:val="auto"/>
          <w:sz w:val="24"/>
          <w:szCs w:val="24"/>
        </w:rPr>
        <w:t>投标人：                                  法人授权代表：</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（投标人公章）                               （签字或盖章）</w:t>
      </w:r>
    </w:p>
    <w:p>
      <w:pPr>
        <w:spacing w:line="500" w:lineRule="exact"/>
        <w:rPr>
          <w:rFonts w:hint="eastAsia" w:ascii="仿宋" w:hAnsi="仿宋" w:eastAsia="仿宋" w:cs="仿宋"/>
          <w:color w:val="auto"/>
          <w:sz w:val="24"/>
          <w:szCs w:val="24"/>
        </w:rPr>
      </w:pPr>
    </w:p>
    <w:p>
      <w:pPr>
        <w:spacing w:line="500" w:lineRule="exact"/>
        <w:rPr>
          <w:rFonts w:hint="eastAsia" w:ascii="仿宋" w:hAnsi="仿宋" w:eastAsia="仿宋" w:cs="仿宋"/>
          <w:color w:val="auto"/>
          <w:sz w:val="24"/>
          <w:szCs w:val="24"/>
        </w:rPr>
      </w:pPr>
    </w:p>
    <w:p>
      <w:pPr>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pPr>
        <w:spacing w:line="500" w:lineRule="exact"/>
        <w:ind w:firstLine="482" w:firstLineChars="200"/>
        <w:rPr>
          <w:rFonts w:hint="eastAsia" w:ascii="仿宋" w:hAnsi="仿宋" w:eastAsia="仿宋" w:cs="仿宋"/>
          <w:b/>
          <w:color w:val="auto"/>
          <w:sz w:val="24"/>
          <w:szCs w:val="24"/>
        </w:rPr>
      </w:pPr>
      <w:bookmarkStart w:id="1" w:name="_Toc322965783"/>
      <w:bookmarkStart w:id="2" w:name="_Toc340223171"/>
      <w:bookmarkStart w:id="3" w:name="_Toc316479515"/>
      <w:bookmarkStart w:id="4" w:name="_Toc313883490"/>
    </w:p>
    <w:p>
      <w:pPr>
        <w:spacing w:line="500" w:lineRule="exact"/>
        <w:ind w:firstLine="482" w:firstLineChars="200"/>
        <w:rPr>
          <w:rFonts w:hint="eastAsia" w:ascii="仿宋" w:hAnsi="仿宋" w:eastAsia="仿宋" w:cs="仿宋"/>
          <w:b/>
          <w:color w:val="auto"/>
          <w:sz w:val="24"/>
          <w:szCs w:val="24"/>
        </w:rPr>
      </w:pPr>
    </w:p>
    <w:bookmarkEnd w:id="1"/>
    <w:bookmarkEnd w:id="2"/>
    <w:bookmarkEnd w:id="3"/>
    <w:bookmarkEnd w:id="4"/>
    <w:p>
      <w:pPr>
        <w:widowControl/>
        <w:jc w:val="left"/>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widowControl/>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2、法定代表人身份证明书（格式）</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（招标单位名称）：</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（法定代表人姓名）在</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（投标人名称）任</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（职务名称）职务，是（投标人名称）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的法定代表人。</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 xml:space="preserve">                                             （投标人公章）</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 xml:space="preserve">                                             年   月   日</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（附：法定代表人身份证复印件）</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br w:type="column"/>
      </w:r>
      <w:r>
        <w:rPr>
          <w:rFonts w:hint="eastAsia" w:ascii="仿宋" w:hAnsi="仿宋" w:eastAsia="仿宋" w:cs="仿宋"/>
          <w:color w:val="auto"/>
          <w:sz w:val="24"/>
          <w:szCs w:val="24"/>
        </w:rPr>
        <w:t>3、法定代表人授权委托书（格式）</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（招标单位名称）：</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（投标人法定代表人名称）是</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（投标人名称）的法定代表人，特授权</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我单位对被授权人的签名负全部责任。</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被授权人签名：               投标人法定代表人签名：</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（附：被授权人身份证复印件）</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right="480"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pPr>
        <w:tabs>
          <w:tab w:val="left" w:pos="6300"/>
        </w:tabs>
        <w:snapToGrid w:val="0"/>
        <w:spacing w:line="500" w:lineRule="exact"/>
        <w:ind w:right="480"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pPr>
        <w:tabs>
          <w:tab w:val="left" w:pos="6300"/>
        </w:tabs>
        <w:snapToGrid w:val="0"/>
        <w:spacing w:line="500" w:lineRule="exact"/>
        <w:ind w:firstLine="570"/>
        <w:rPr>
          <w:rFonts w:hint="eastAsia" w:ascii="仿宋" w:hAnsi="仿宋" w:eastAsia="仿宋" w:cs="仿宋"/>
          <w:color w:val="auto"/>
          <w:sz w:val="24"/>
          <w:szCs w:val="24"/>
        </w:rPr>
      </w:pPr>
      <w:r>
        <w:rPr>
          <w:rFonts w:hint="eastAsia" w:ascii="仿宋" w:hAnsi="仿宋" w:eastAsia="仿宋" w:cs="仿宋"/>
          <w:color w:val="auto"/>
          <w:sz w:val="24"/>
          <w:szCs w:val="24"/>
        </w:rPr>
        <w:br w:type="column"/>
      </w:r>
      <w:r>
        <w:rPr>
          <w:rFonts w:hint="eastAsia" w:ascii="仿宋" w:hAnsi="仿宋" w:eastAsia="仿宋" w:cs="仿宋"/>
          <w:color w:val="auto"/>
          <w:sz w:val="24"/>
          <w:szCs w:val="24"/>
        </w:rPr>
        <w:t>4、诚信声明（格式）</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（招标单位名称）：</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特此声明。</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right="424"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pPr>
        <w:tabs>
          <w:tab w:val="left" w:pos="6300"/>
        </w:tabs>
        <w:snapToGrid w:val="0"/>
        <w:spacing w:line="500" w:lineRule="exact"/>
        <w:ind w:right="480"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pPr>
        <w:tabs>
          <w:tab w:val="left" w:pos="6300"/>
        </w:tabs>
        <w:snapToGrid w:val="0"/>
        <w:spacing w:line="500" w:lineRule="exact"/>
        <w:ind w:firstLine="480" w:firstLineChars="200"/>
        <w:rPr>
          <w:rFonts w:hint="eastAsia" w:ascii="仿宋" w:hAnsi="仿宋" w:eastAsia="仿宋" w:cs="仿宋"/>
          <w:b/>
          <w:color w:val="auto"/>
          <w:sz w:val="24"/>
          <w:szCs w:val="24"/>
        </w:rPr>
      </w:pPr>
      <w:r>
        <w:rPr>
          <w:rFonts w:hint="eastAsia" w:ascii="仿宋" w:hAnsi="仿宋" w:eastAsia="仿宋" w:cs="仿宋"/>
          <w:color w:val="auto"/>
          <w:sz w:val="24"/>
          <w:szCs w:val="24"/>
        </w:rPr>
        <w:br w:type="page"/>
      </w:r>
    </w:p>
    <w:p>
      <w:pPr>
        <w:snapToGrid w:val="0"/>
        <w:spacing w:before="156" w:beforeLines="50"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5、投标函（格式）</w:t>
      </w:r>
    </w:p>
    <w:p>
      <w:pPr>
        <w:spacing w:line="500" w:lineRule="exact"/>
        <w:rPr>
          <w:rFonts w:hint="eastAsia" w:ascii="仿宋" w:hAnsi="仿宋" w:eastAsia="仿宋" w:cs="仿宋"/>
          <w:color w:val="auto"/>
          <w:sz w:val="24"/>
          <w:szCs w:val="24"/>
        </w:rPr>
      </w:pPr>
    </w:p>
    <w:p>
      <w:pPr>
        <w:spacing w:line="500" w:lineRule="exact"/>
        <w:ind w:firstLine="480"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采购项目名称：</w:t>
      </w:r>
      <w:r>
        <w:rPr>
          <w:rFonts w:hint="eastAsia" w:ascii="仿宋" w:hAnsi="仿宋" w:eastAsia="仿宋" w:cs="仿宋"/>
          <w:color w:val="auto"/>
          <w:sz w:val="24"/>
          <w:szCs w:val="24"/>
          <w:u w:val="single"/>
        </w:rPr>
        <w:t xml:space="preserve">                                             </w:t>
      </w:r>
    </w:p>
    <w:p>
      <w:pPr>
        <w:spacing w:line="500" w:lineRule="exact"/>
        <w:rPr>
          <w:rFonts w:hint="eastAsia" w:ascii="仿宋" w:hAnsi="仿宋" w:eastAsia="仿宋" w:cs="仿宋"/>
          <w:color w:val="auto"/>
          <w:sz w:val="24"/>
          <w:szCs w:val="24"/>
        </w:rPr>
      </w:pPr>
    </w:p>
    <w:p>
      <w:pPr>
        <w:tabs>
          <w:tab w:val="left" w:pos="6300"/>
        </w:tabs>
        <w:snapToGrid w:val="0"/>
        <w:spacing w:line="500" w:lineRule="exact"/>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（招标单位名称）：</w:t>
      </w:r>
    </w:p>
    <w:p>
      <w:pPr>
        <w:snapToGrid w:val="0"/>
        <w:spacing w:before="156" w:beforeLines="50"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（投标人名称）系中华人民共和国合法企业，注册地址：</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。我方就参加本次投标有关事项郑重声明如下：</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一、我方完全理解并接受该项目招标文件所有要求。</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三、我方承诺按照招标文件要求，提供招标项目的技术服务。</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四、我方按招标文件要求提交的投标文件为：投标文件正本1份，副本1份。</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五、我方承诺：本次投标的投标有效期为90天。</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五、我方投标报价为闭口价。即在投标有效期和合同有效期内，该报价固定不变。</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六、如果我方成交，我方将履行招标文件中规定的各项要求以及我方投标文件的各项承诺，按《政府采购法》、《合同法》及合同约定条款承担我方责任。</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七、我方理解，最低报价不是成交的唯一条件。</w:t>
      </w:r>
    </w:p>
    <w:p>
      <w:pPr>
        <w:tabs>
          <w:tab w:val="left" w:pos="6300"/>
        </w:tabs>
        <w:snapToGrid w:val="0"/>
        <w:spacing w:line="5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八、我方同意按有关规定及招标文件要求，缴纳足额投标保证金。</w:t>
      </w:r>
    </w:p>
    <w:p>
      <w:pPr>
        <w:tabs>
          <w:tab w:val="left" w:pos="6300"/>
        </w:tabs>
        <w:snapToGrid w:val="0"/>
        <w:spacing w:line="500" w:lineRule="exact"/>
        <w:ind w:firstLine="480" w:firstLineChars="200"/>
        <w:rPr>
          <w:rFonts w:hint="eastAsia" w:ascii="仿宋" w:hAnsi="仿宋" w:eastAsia="仿宋" w:cs="仿宋"/>
          <w:color w:val="auto"/>
          <w:sz w:val="24"/>
          <w:szCs w:val="24"/>
        </w:rPr>
      </w:pP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460" w:firstLineChars="2275"/>
        <w:rPr>
          <w:rFonts w:hint="eastAsia" w:ascii="仿宋" w:hAnsi="仿宋" w:eastAsia="仿宋" w:cs="仿宋"/>
          <w:color w:val="auto"/>
          <w:sz w:val="24"/>
          <w:szCs w:val="24"/>
        </w:rPr>
      </w:pPr>
      <w:r>
        <w:rPr>
          <w:rFonts w:hint="eastAsia" w:ascii="仿宋" w:hAnsi="仿宋" w:eastAsia="仿宋" w:cs="仿宋"/>
          <w:color w:val="auto"/>
          <w:sz w:val="24"/>
          <w:szCs w:val="24"/>
        </w:rPr>
        <w:t>（投标人公章）</w:t>
      </w:r>
    </w:p>
    <w:p>
      <w:pPr>
        <w:tabs>
          <w:tab w:val="left" w:pos="6300"/>
        </w:tabs>
        <w:snapToGrid w:val="0"/>
        <w:spacing w:line="500" w:lineRule="exact"/>
        <w:ind w:firstLine="570"/>
        <w:rPr>
          <w:rFonts w:hint="eastAsia" w:ascii="仿宋" w:hAnsi="仿宋" w:eastAsia="仿宋" w:cs="仿宋"/>
          <w:color w:val="auto"/>
          <w:sz w:val="24"/>
          <w:szCs w:val="24"/>
        </w:rPr>
      </w:pPr>
    </w:p>
    <w:p>
      <w:pPr>
        <w:tabs>
          <w:tab w:val="left" w:pos="6300"/>
        </w:tabs>
        <w:snapToGrid w:val="0"/>
        <w:spacing w:line="500" w:lineRule="exact"/>
        <w:ind w:firstLine="5760" w:firstLineChars="2400"/>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pPr>
        <w:tabs>
          <w:tab w:val="left" w:pos="6300"/>
        </w:tabs>
        <w:snapToGrid w:val="0"/>
        <w:spacing w:line="500" w:lineRule="exact"/>
        <w:ind w:firstLine="5760" w:firstLineChars="2400"/>
        <w:rPr>
          <w:rFonts w:hint="eastAsia" w:ascii="仿宋" w:hAnsi="仿宋" w:eastAsia="仿宋" w:cs="仿宋"/>
          <w:color w:val="auto"/>
          <w:sz w:val="24"/>
          <w:szCs w:val="24"/>
        </w:rPr>
      </w:pPr>
    </w:p>
    <w:p>
      <w:pPr>
        <w:tabs>
          <w:tab w:val="left" w:pos="6300"/>
        </w:tabs>
        <w:snapToGrid w:val="0"/>
        <w:spacing w:line="5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6、售后服务承诺（格式自拟）</w:t>
      </w:r>
    </w:p>
    <w:p>
      <w:pPr>
        <w:widowControl/>
        <w:jc w:val="center"/>
        <w:rPr>
          <w:rFonts w:hint="eastAsia" w:ascii="仿宋" w:hAnsi="仿宋" w:eastAsia="仿宋" w:cs="仿宋"/>
          <w:color w:val="auto"/>
          <w:sz w:val="24"/>
          <w:szCs w:val="24"/>
        </w:rPr>
      </w:pPr>
      <w:bookmarkStart w:id="5" w:name="_Toc161727398"/>
      <w:r>
        <w:rPr>
          <w:rFonts w:hint="eastAsia" w:ascii="仿宋" w:hAnsi="仿宋" w:eastAsia="仿宋" w:cs="仿宋"/>
          <w:color w:val="auto"/>
          <w:sz w:val="24"/>
          <w:szCs w:val="24"/>
        </w:rPr>
        <w:br w:type="page"/>
      </w:r>
      <w:bookmarkEnd w:id="5"/>
      <w:bookmarkStart w:id="6" w:name="_Toc101179065"/>
      <w:bookmarkStart w:id="7" w:name="_Toc161727400"/>
    </w:p>
    <w:bookmarkEnd w:id="6"/>
    <w:bookmarkEnd w:id="7"/>
    <w:p>
      <w:pPr>
        <w:tabs>
          <w:tab w:val="left" w:pos="6300"/>
        </w:tabs>
        <w:snapToGrid w:val="0"/>
        <w:spacing w:line="500" w:lineRule="exact"/>
        <w:jc w:val="left"/>
        <w:rPr>
          <w:rFonts w:hint="eastAsia" w:ascii="仿宋" w:hAnsi="仿宋" w:eastAsia="仿宋" w:cs="仿宋"/>
          <w:color w:val="auto"/>
          <w:sz w:val="24"/>
          <w:szCs w:val="24"/>
        </w:rPr>
      </w:pPr>
      <w:bookmarkStart w:id="8" w:name="_Toc322965786"/>
      <w:bookmarkStart w:id="9" w:name="_Toc340223174"/>
      <w:r>
        <w:rPr>
          <w:rFonts w:hint="eastAsia" w:ascii="仿宋" w:hAnsi="仿宋" w:eastAsia="仿宋" w:cs="仿宋"/>
          <w:color w:val="auto"/>
          <w:sz w:val="24"/>
          <w:szCs w:val="24"/>
        </w:rPr>
        <w:t>十一、其他说明</w:t>
      </w:r>
      <w:bookmarkEnd w:id="8"/>
      <w:bookmarkEnd w:id="9"/>
      <w:r>
        <w:rPr>
          <w:rFonts w:hint="eastAsia" w:ascii="仿宋" w:hAnsi="仿宋" w:eastAsia="仿宋" w:cs="仿宋"/>
          <w:color w:val="auto"/>
          <w:sz w:val="24"/>
          <w:szCs w:val="24"/>
        </w:rPr>
        <w:t>（格式自拟）</w:t>
      </w:r>
    </w:p>
    <w:p>
      <w:pPr>
        <w:pStyle w:val="3"/>
        <w:rPr>
          <w:rFonts w:hint="eastAsia" w:ascii="仿宋" w:hAnsi="仿宋" w:eastAsia="仿宋" w:cs="仿宋"/>
          <w:color w:val="auto"/>
          <w:sz w:val="24"/>
          <w:szCs w:val="24"/>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5F5B4"/>
    <w:multiLevelType w:val="singleLevel"/>
    <w:tmpl w:val="5A25F5B4"/>
    <w:lvl w:ilvl="0" w:tentative="0">
      <w:start w:val="2"/>
      <w:numFmt w:val="chineseCounting"/>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11"/>
    <w:rsid w:val="00017410"/>
    <w:rsid w:val="000B569B"/>
    <w:rsid w:val="000D1827"/>
    <w:rsid w:val="000F67C5"/>
    <w:rsid w:val="00120B82"/>
    <w:rsid w:val="00134024"/>
    <w:rsid w:val="00137F89"/>
    <w:rsid w:val="0018670F"/>
    <w:rsid w:val="001C6516"/>
    <w:rsid w:val="001F6DDB"/>
    <w:rsid w:val="00232D4F"/>
    <w:rsid w:val="003D5353"/>
    <w:rsid w:val="003D59F3"/>
    <w:rsid w:val="003F7732"/>
    <w:rsid w:val="0045020F"/>
    <w:rsid w:val="005666C3"/>
    <w:rsid w:val="00587121"/>
    <w:rsid w:val="007416B7"/>
    <w:rsid w:val="007B27E1"/>
    <w:rsid w:val="007C716D"/>
    <w:rsid w:val="007D2E58"/>
    <w:rsid w:val="0088209A"/>
    <w:rsid w:val="008D1F11"/>
    <w:rsid w:val="00A02079"/>
    <w:rsid w:val="00A23D1A"/>
    <w:rsid w:val="00B04AD1"/>
    <w:rsid w:val="00B402A6"/>
    <w:rsid w:val="00B4150D"/>
    <w:rsid w:val="00BB4272"/>
    <w:rsid w:val="00C14A2F"/>
    <w:rsid w:val="00C2642C"/>
    <w:rsid w:val="00C801DB"/>
    <w:rsid w:val="00D15D7D"/>
    <w:rsid w:val="00D52C42"/>
    <w:rsid w:val="00D577A0"/>
    <w:rsid w:val="00DC05E2"/>
    <w:rsid w:val="00DD073B"/>
    <w:rsid w:val="00DF37CD"/>
    <w:rsid w:val="00E109CD"/>
    <w:rsid w:val="00E549AC"/>
    <w:rsid w:val="00EA7750"/>
    <w:rsid w:val="00EF2855"/>
    <w:rsid w:val="00F00597"/>
    <w:rsid w:val="00F6305E"/>
    <w:rsid w:val="00FF7BB8"/>
    <w:rsid w:val="010701D9"/>
    <w:rsid w:val="03432539"/>
    <w:rsid w:val="04301CD8"/>
    <w:rsid w:val="13535AA4"/>
    <w:rsid w:val="1FE74B4D"/>
    <w:rsid w:val="2B1D55F4"/>
    <w:rsid w:val="2C5076C0"/>
    <w:rsid w:val="35677A29"/>
    <w:rsid w:val="3CAD0E99"/>
    <w:rsid w:val="3E32677A"/>
    <w:rsid w:val="516D4D11"/>
    <w:rsid w:val="66811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after="150"/>
      <w:jc w:val="left"/>
    </w:pPr>
    <w:rPr>
      <w:rFonts w:ascii="宋体" w:hAnsi="宋体" w:eastAsia="宋体" w:cs="宋体"/>
      <w:kern w:val="0"/>
      <w:sz w:val="24"/>
      <w:szCs w:val="24"/>
    </w:rPr>
  </w:style>
  <w:style w:type="character" w:styleId="8">
    <w:name w:val="Hyperlink"/>
    <w:basedOn w:val="7"/>
    <w:qFormat/>
    <w:uiPriority w:val="99"/>
    <w:rPr>
      <w:color w:val="0000FF"/>
      <w:u w:val="single"/>
    </w:rPr>
  </w:style>
  <w:style w:type="character" w:customStyle="1" w:styleId="10">
    <w:name w:val="标题 2 Char"/>
    <w:basedOn w:val="7"/>
    <w:link w:val="3"/>
    <w:qFormat/>
    <w:uiPriority w:val="9"/>
    <w:rPr>
      <w:rFonts w:asciiTheme="majorHAnsi" w:hAnsiTheme="majorHAnsi" w:eastAsiaTheme="majorEastAsia" w:cstheme="majorBidi"/>
      <w:b/>
      <w:bCs/>
      <w:sz w:val="32"/>
      <w:szCs w:val="32"/>
    </w:rPr>
  </w:style>
  <w:style w:type="character" w:customStyle="1" w:styleId="11">
    <w:name w:val="标题 1 Char"/>
    <w:basedOn w:val="7"/>
    <w:link w:val="2"/>
    <w:qFormat/>
    <w:uiPriority w:val="9"/>
    <w:rPr>
      <w:b/>
      <w:bCs/>
      <w:kern w:val="44"/>
      <w:sz w:val="44"/>
      <w:szCs w:val="44"/>
    </w:r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font121"/>
    <w:basedOn w:val="7"/>
    <w:qFormat/>
    <w:uiPriority w:val="0"/>
    <w:rPr>
      <w:rFonts w:hint="eastAsia" w:ascii="微软雅黑" w:hAnsi="微软雅黑" w:eastAsia="微软雅黑" w:cs="微软雅黑"/>
      <w:b/>
      <w:color w:val="000000"/>
      <w:sz w:val="18"/>
      <w:szCs w:val="18"/>
      <w:u w:val="none"/>
    </w:rPr>
  </w:style>
  <w:style w:type="character" w:customStyle="1" w:styleId="15">
    <w:name w:val="font71"/>
    <w:basedOn w:val="7"/>
    <w:qFormat/>
    <w:uiPriority w:val="0"/>
    <w:rPr>
      <w:rFonts w:hint="eastAsia" w:ascii="微软雅黑" w:hAnsi="微软雅黑" w:eastAsia="微软雅黑" w:cs="微软雅黑"/>
      <w:color w:val="000000"/>
      <w:sz w:val="18"/>
      <w:szCs w:val="18"/>
      <w:u w:val="none"/>
    </w:rPr>
  </w:style>
  <w:style w:type="character" w:customStyle="1" w:styleId="16">
    <w:name w:val="font91"/>
    <w:basedOn w:val="7"/>
    <w:qFormat/>
    <w:uiPriority w:val="0"/>
    <w:rPr>
      <w:rFonts w:hint="eastAsia" w:ascii="微软雅黑" w:hAnsi="微软雅黑" w:eastAsia="微软雅黑" w:cs="微软雅黑"/>
      <w:b/>
      <w:color w:val="000000"/>
      <w:sz w:val="18"/>
      <w:szCs w:val="18"/>
      <w:u w:val="none"/>
    </w:rPr>
  </w:style>
  <w:style w:type="character" w:customStyle="1" w:styleId="17">
    <w:name w:val="font61"/>
    <w:basedOn w:val="7"/>
    <w:qFormat/>
    <w:uiPriority w:val="0"/>
    <w:rPr>
      <w:rFonts w:hint="eastAsia" w:ascii="微软雅黑" w:hAnsi="微软雅黑" w:eastAsia="微软雅黑" w:cs="微软雅黑"/>
      <w:color w:val="000000"/>
      <w:sz w:val="18"/>
      <w:szCs w:val="18"/>
      <w:u w:val="none"/>
    </w:rPr>
  </w:style>
  <w:style w:type="character" w:customStyle="1" w:styleId="18">
    <w:name w:val="font31"/>
    <w:basedOn w:val="7"/>
    <w:qFormat/>
    <w:uiPriority w:val="0"/>
    <w:rPr>
      <w:rFonts w:hint="eastAsia" w:ascii="微软雅黑" w:hAnsi="微软雅黑" w:eastAsia="微软雅黑" w:cs="微软雅黑"/>
      <w:b/>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856</Words>
  <Characters>4882</Characters>
  <Lines>40</Lines>
  <Paragraphs>11</Paragraphs>
  <TotalTime>2</TotalTime>
  <ScaleCrop>false</ScaleCrop>
  <LinksUpToDate>false</LinksUpToDate>
  <CharactersWithSpaces>5727</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2017-06-20T09:08:00Z</dcterms:created>
  <dc:creator>lenovo</dc:creator>
  <cp:lastModifiedBy>阿明</cp:lastModifiedBy>
  <dcterms:modified xsi:type="dcterms:W3CDTF">2018-09-30T00:06:41Z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