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jc w:val="center"/>
        <w:rPr>
          <w:rFonts w:hint="eastAsia" w:ascii="仿宋" w:hAnsi="仿宋" w:eastAsia="仿宋" w:cs="仿宋"/>
          <w:color w:val="auto"/>
          <w:sz w:val="36"/>
          <w:szCs w:val="36"/>
        </w:rPr>
      </w:pPr>
      <w:r>
        <w:rPr>
          <w:rFonts w:hint="eastAsia" w:ascii="仿宋" w:hAnsi="仿宋" w:eastAsia="仿宋" w:cs="仿宋"/>
          <w:color w:val="auto"/>
          <w:sz w:val="36"/>
          <w:szCs w:val="36"/>
        </w:rPr>
        <w:t>重庆市第八中学校行政楼会议室与科技楼学术报告厅</w:t>
      </w:r>
    </w:p>
    <w:p>
      <w:pPr>
        <w:pStyle w:val="6"/>
        <w:spacing w:after="0"/>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rPr>
        <w:t>多媒体工程建设</w:t>
      </w:r>
      <w:r>
        <w:rPr>
          <w:rFonts w:hint="eastAsia" w:ascii="仿宋" w:hAnsi="仿宋" w:eastAsia="仿宋" w:cs="仿宋"/>
          <w:color w:val="auto"/>
          <w:sz w:val="36"/>
          <w:szCs w:val="36"/>
          <w:lang w:eastAsia="zh-CN"/>
        </w:rPr>
        <w:t>询价采购公告</w:t>
      </w:r>
    </w:p>
    <w:p>
      <w:pPr>
        <w:pStyle w:val="6"/>
        <w:spacing w:after="0"/>
        <w:ind w:left="0" w:leftChars="-200" w:right="-512" w:rightChars="-244" w:hanging="420" w:firstLineChars="0"/>
        <w:jc w:val="center"/>
        <w:rPr>
          <w:rFonts w:hint="eastAsia" w:ascii="仿宋" w:hAnsi="仿宋" w:eastAsia="仿宋" w:cs="仿宋"/>
          <w:color w:val="auto"/>
          <w:sz w:val="21"/>
          <w:szCs w:val="21"/>
          <w:lang w:val="en-US" w:eastAsia="zh-CN"/>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outlineLvl w:val="9"/>
        <w:rPr>
          <w:rFonts w:hint="eastAsia" w:ascii="仿宋" w:hAnsi="仿宋" w:eastAsia="仿宋" w:cs="仿宋"/>
          <w:color w:val="auto"/>
        </w:rPr>
      </w:pPr>
      <w:r>
        <w:rPr>
          <w:rFonts w:hint="eastAsia" w:ascii="仿宋" w:hAnsi="仿宋" w:eastAsia="仿宋" w:cs="仿宋"/>
          <w:color w:val="auto"/>
        </w:rPr>
        <w:t>根据重庆市政府采购及重庆市第八中学校招投标相关规定，重庆市第八中学校行政楼会议室与科技楼学术报告厅多媒体工程建设采购项目已通过学校审批程序，现对外公开询价招标。</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一、招标单位：重庆市第八中学校</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二、招标项目及内容</w:t>
      </w:r>
    </w:p>
    <w:p>
      <w:pPr>
        <w:pStyle w:val="6"/>
        <w:keepNext w:val="0"/>
        <w:keepLines w:val="0"/>
        <w:pageBreakBefore w:val="0"/>
        <w:kinsoku/>
        <w:wordWrap/>
        <w:overflowPunct/>
        <w:topLinePunct w:val="0"/>
        <w:autoSpaceDE/>
        <w:autoSpaceDN/>
        <w:bidi w:val="0"/>
        <w:adjustRightInd/>
        <w:spacing w:after="0" w:line="360" w:lineRule="auto"/>
        <w:textAlignment w:val="auto"/>
        <w:outlineLvl w:val="9"/>
        <w:rPr>
          <w:rFonts w:hint="eastAsia" w:ascii="仿宋" w:hAnsi="仿宋" w:eastAsia="仿宋" w:cs="仿宋"/>
          <w:color w:val="auto"/>
        </w:rPr>
      </w:pPr>
      <w:r>
        <w:rPr>
          <w:rFonts w:hint="eastAsia" w:ascii="仿宋" w:hAnsi="仿宋" w:eastAsia="仿宋" w:cs="仿宋"/>
          <w:color w:val="auto"/>
        </w:rPr>
        <w:t>(一)项目内容</w:t>
      </w:r>
    </w:p>
    <w:tbl>
      <w:tblPr>
        <w:tblStyle w:val="9"/>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5"/>
        <w:gridCol w:w="1988"/>
        <w:gridCol w:w="183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46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9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最高限价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8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6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6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重庆市第八中学校行政楼会议室多媒体工程建设</w:t>
            </w:r>
          </w:p>
        </w:tc>
        <w:tc>
          <w:tcPr>
            <w:tcW w:w="19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8.00</w:t>
            </w:r>
          </w:p>
        </w:tc>
        <w:tc>
          <w:tcPr>
            <w:tcW w:w="18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16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6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重庆市第八中学校科技楼学术报告厅多媒体工程建设</w:t>
            </w:r>
          </w:p>
        </w:tc>
        <w:tc>
          <w:tcPr>
            <w:tcW w:w="19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2.00</w:t>
            </w:r>
          </w:p>
        </w:tc>
        <w:tc>
          <w:tcPr>
            <w:tcW w:w="18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16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p>
        </w:tc>
      </w:tr>
    </w:tbl>
    <w:p>
      <w:pPr>
        <w:pStyle w:val="6"/>
        <w:keepNext w:val="0"/>
        <w:keepLines w:val="0"/>
        <w:pageBreakBefore w:val="0"/>
        <w:widowControl/>
        <w:numPr>
          <w:ilvl w:val="0"/>
          <w:numId w:val="1"/>
        </w:numPr>
        <w:kinsoku/>
        <w:wordWrap/>
        <w:overflowPunct/>
        <w:topLinePunct w:val="0"/>
        <w:autoSpaceDE/>
        <w:autoSpaceDN/>
        <w:bidi w:val="0"/>
        <w:adjustRightInd/>
        <w:snapToGrid/>
        <w:spacing w:after="0" w:line="600" w:lineRule="auto"/>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项</w:t>
      </w:r>
      <w:r>
        <w:rPr>
          <w:rFonts w:hint="eastAsia" w:ascii="仿宋" w:hAnsi="仿宋" w:eastAsia="仿宋" w:cs="仿宋"/>
          <w:color w:val="auto"/>
        </w:rPr>
        <w:t>目货物名称</w:t>
      </w:r>
      <w:r>
        <w:rPr>
          <w:rFonts w:hint="eastAsia" w:ascii="仿宋" w:hAnsi="仿宋" w:eastAsia="仿宋" w:cs="仿宋"/>
          <w:color w:val="auto"/>
          <w:lang w:eastAsia="zh-CN"/>
        </w:rPr>
        <w:t>、数量</w:t>
      </w:r>
      <w:r>
        <w:rPr>
          <w:rFonts w:hint="eastAsia" w:ascii="仿宋" w:hAnsi="仿宋" w:eastAsia="仿宋" w:cs="仿宋"/>
          <w:color w:val="auto"/>
        </w:rPr>
        <w:t>及技术参数需</w:t>
      </w:r>
      <w:r>
        <w:rPr>
          <w:rFonts w:hint="eastAsia" w:ascii="仿宋" w:hAnsi="仿宋" w:eastAsia="仿宋" w:cs="仿宋"/>
          <w:color w:val="auto"/>
          <w:lang w:eastAsia="zh-CN"/>
        </w:rPr>
        <w:t>求</w:t>
      </w:r>
    </w:p>
    <w:tbl>
      <w:tblPr>
        <w:tblStyle w:val="10"/>
        <w:tblW w:w="10120" w:type="dxa"/>
        <w:jc w:val="center"/>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14"/>
        <w:gridCol w:w="538"/>
        <w:gridCol w:w="513"/>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
                <w:color w:val="auto"/>
                <w:kern w:val="0"/>
                <w:sz w:val="21"/>
                <w:szCs w:val="21"/>
                <w:lang w:bidi="ar"/>
              </w:rPr>
              <w:t>序号</w:t>
            </w:r>
          </w:p>
        </w:tc>
        <w:tc>
          <w:tcPr>
            <w:tcW w:w="211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
                <w:color w:val="auto"/>
                <w:kern w:val="0"/>
                <w:sz w:val="21"/>
                <w:szCs w:val="21"/>
                <w:lang w:eastAsia="zh-CN" w:bidi="ar"/>
              </w:rPr>
              <w:t>采购货物</w:t>
            </w:r>
            <w:r>
              <w:rPr>
                <w:rFonts w:hint="eastAsia" w:ascii="仿宋" w:hAnsi="仿宋" w:eastAsia="仿宋" w:cs="仿宋"/>
                <w:b/>
                <w:color w:val="auto"/>
                <w:kern w:val="0"/>
                <w:sz w:val="21"/>
                <w:szCs w:val="21"/>
                <w:lang w:bidi="ar"/>
              </w:rPr>
              <w:t>名称</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
                <w:color w:val="auto"/>
                <w:kern w:val="0"/>
                <w:sz w:val="21"/>
                <w:szCs w:val="21"/>
                <w:lang w:bidi="ar"/>
              </w:rPr>
              <w:t>数量</w:t>
            </w:r>
          </w:p>
        </w:tc>
        <w:tc>
          <w:tcPr>
            <w:tcW w:w="5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
                <w:color w:val="auto"/>
                <w:kern w:val="0"/>
                <w:sz w:val="21"/>
                <w:szCs w:val="21"/>
                <w:lang w:bidi="ar"/>
              </w:rPr>
              <w:t>单位</w:t>
            </w:r>
          </w:p>
        </w:tc>
        <w:tc>
          <w:tcPr>
            <w:tcW w:w="642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
                <w:color w:val="auto"/>
                <w:kern w:val="0"/>
                <w:sz w:val="21"/>
                <w:szCs w:val="21"/>
                <w:lang w:bidi="ar"/>
              </w:rPr>
              <w:t>技术参数</w:t>
            </w:r>
            <w:r>
              <w:rPr>
                <w:rFonts w:hint="eastAsia" w:ascii="仿宋" w:hAnsi="仿宋" w:eastAsia="仿宋" w:cs="仿宋"/>
                <w:b/>
                <w:color w:val="auto"/>
                <w:kern w:val="0"/>
                <w:sz w:val="21"/>
                <w:szCs w:val="21"/>
                <w:lang w:eastAsia="zh-CN" w:bidi="ar"/>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auto"/>
                <w:vertAlign w:val="baseline"/>
                <w:lang w:eastAsia="zh-CN"/>
              </w:rPr>
            </w:pPr>
            <w:r>
              <w:rPr>
                <w:rFonts w:hint="eastAsia" w:ascii="仿宋" w:hAnsi="仿宋" w:eastAsia="仿宋" w:cs="仿宋"/>
                <w:b/>
                <w:bCs w:val="0"/>
                <w:color w:val="auto"/>
                <w:kern w:val="0"/>
                <w:sz w:val="21"/>
                <w:szCs w:val="21"/>
                <w:lang w:eastAsia="zh-CN" w:bidi="ar"/>
              </w:rPr>
              <w:t>一</w:t>
            </w:r>
          </w:p>
        </w:tc>
        <w:tc>
          <w:tcPr>
            <w:tcW w:w="9593"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outlineLvl w:val="9"/>
              <w:rPr>
                <w:rFonts w:hint="eastAsia" w:ascii="仿宋" w:hAnsi="仿宋" w:eastAsia="仿宋" w:cs="仿宋"/>
                <w:b/>
                <w:bCs w:val="0"/>
                <w:color w:val="auto"/>
                <w:vertAlign w:val="baseline"/>
                <w:lang w:eastAsia="zh-CN"/>
              </w:rPr>
            </w:pPr>
            <w:r>
              <w:rPr>
                <w:rFonts w:hint="eastAsia" w:ascii="仿宋" w:hAnsi="仿宋" w:eastAsia="仿宋" w:cs="仿宋"/>
                <w:b/>
                <w:bCs w:val="0"/>
                <w:color w:val="auto"/>
                <w:sz w:val="21"/>
                <w:szCs w:val="21"/>
              </w:rPr>
              <w:t>重庆市第八中学校行政楼会议室多媒体工程建设</w:t>
            </w:r>
            <w:r>
              <w:rPr>
                <w:rFonts w:hint="eastAsia" w:ascii="仿宋" w:hAnsi="仿宋" w:eastAsia="仿宋" w:cs="仿宋"/>
                <w:b/>
                <w:bCs w:val="0"/>
                <w:color w:val="auto"/>
                <w:sz w:val="21"/>
                <w:szCs w:val="21"/>
                <w:lang w:eastAsia="zh-CN"/>
              </w:rPr>
              <w:t>部份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bidi="ar"/>
              </w:rPr>
              <w:t>1</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数字会议系统主机</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台</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1、符合IEC60914 国际标准；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2、完全数字化的会议控制主机，音频信号采用专用的高性能DSP进行处理；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3、内置监听扬声器，可直接应用于小型会议室而无需扩音设备；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4、256×64 OLED显示屏，可显示会议系统主机状态及系统设置菜单；</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5、具备WEB页面控制功能，可通过WEB页面访问控制主机，集中进行话筒管理；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6、配合摄像机、视频切换台，通过WEB页面预设后，可进行摄像自动跟踪；</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7、具备USB接口，可用于系统升级；</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8、内置会议单元测试功能，可在会前对各会议单元的LED指示灯进行检测；</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9、具有发言讨论控制功能；</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b w:val="0"/>
                <w:bCs/>
                <w:color w:val="auto"/>
                <w:kern w:val="0"/>
                <w:sz w:val="21"/>
                <w:szCs w:val="21"/>
                <w:lang w:val="en-US" w:eastAsia="zh-CN" w:bidi="ar-SA"/>
              </w:rPr>
              <w:t>★</w:t>
            </w:r>
            <w:r>
              <w:rPr>
                <w:rFonts w:hint="eastAsia" w:ascii="仿宋" w:hAnsi="仿宋" w:eastAsia="仿宋" w:cs="仿宋"/>
                <w:i w:val="0"/>
                <w:color w:val="auto"/>
                <w:kern w:val="0"/>
                <w:sz w:val="21"/>
                <w:szCs w:val="21"/>
                <w:u w:val="none"/>
                <w:lang w:val="en-US" w:eastAsia="zh-CN" w:bidi="ar"/>
              </w:rPr>
              <w:t>10、总谐波失真≦0.05%，提供国家广播电视产品质量监督检验中心出具的检测报告，加盖制造商鲜章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bidi="ar"/>
              </w:rPr>
              <w:t>2</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数字会议主席单元</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支</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1、台面放置式会议单元；</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2、单元自带驻极体心形指向性麦克风，并带有话筒开启指示灯圈，话筒杆可拆卸；</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3、单元内置高保真扬声器，当打开话筒时扬声器自动静音；</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4、单元具备至少两种以上长度的话筒杆可供选择；</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5、单元自带话筒开关按键；</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6、主席单元主席按键，实现自由开启，且具有优先权按键；</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7、单元自带一定长度的连接线缆；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8、具有OPEN/OVERRIDE/VOICE/APPLY/PTT 发言模式；</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9、当已开启的话筒总数小于 6 时，按下话筒开关键可直接开关话筒；</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10、Mini 型麦克风，带有防脱落结构的麦克风防风罩；</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11、可以独立调节增益，可针对不同的发言者声音特点调节不同的音 量，直至达到完美效果；</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12、内置高通滤波器（低切开关），方便在需要时切去声音中的低频成分。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bidi="ar"/>
              </w:rPr>
              <w:t>3</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数字会议代表单元</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17</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支</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1、台面放置式会议单元；</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2、单元自带驻极体心形指向性麦克风，并带有话筒开启指示灯圈，话筒杆可拆卸；</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3、单元内置高保真扬声器，当打开话筒时扬声器自动静音；</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4、单元具备至少两种以上长度的话筒杆可供选择；</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5、单元自带话筒开关按键；</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6、单元自带一定长度的连接线缆；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7、具有OPEN/OVERRIDE/VOICE/APPLY/PTT 发言模式；</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8、当已开启的话筒总数小于 6 时，按下话筒开关键可直接开关话筒；</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9、Mini 型麦克风，带有防脱落结构的麦克风防风罩；</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10、可以独立调节增益，可针对不同的发言者声音特点调节不同的音 量，直至达到完美效果；</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11、内置高通滤波器（低切开关），方便在需要时切去声音中的低频成分。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bidi="ar"/>
              </w:rPr>
              <w:t>4</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数字会议系统专用线</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2</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条</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原厂国标铜软线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bidi="ar"/>
              </w:rPr>
              <w:t>5</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话筒啸叫</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智能数字反馈抑制器</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台</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1、每通道 14个独立的数字陷波滤波器，从 40Hz~20kHz 自动控制；</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2、滤波器带宽：用户可以控制，或者是 1/10 倍频程，或者是 1/5 倍频程，恒定 Q 值，分辨率 1Hz；</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3、寻找和消除反馈需要的时间： 0.4 秒，典型值 1kHz；</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4、活动滤波器计时器：活动滤波器的释放时间为1、5、30、60分钟；</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5、输入阻抗：平衡或不平衡输入阻抗 &gt;40KΩ ， 2 脚高电平；</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6、输出阻抗：平衡或不平衡输出阻抗 150Ω， 2 脚高电平；</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7、傍通：真正的电源关断傍通；</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8、峰值空间：一般 4dBV 平衡输入，最大峰值为 +23dB；</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9、I/C 连接器： XLR-3 和 1/4″TRS；</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10、频率响应： 20Hz~20kHz ， ±0.3dB，增益匹配： ±0.2dB；</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11、频率响应： ±0.25dB ， 20Hz~20kHz，信噪比： &gt;100dB；</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12、总谐波失真： 0.005% ， 1kHz ； 20Hz~10kHz ， &lt;0.01%，10kHz~20kHz ， &lt;0.025% ；动态范围： &gt;105dB。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val="en-US" w:eastAsia="zh-CN" w:bidi="ar"/>
              </w:rPr>
              <w:t>6</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效果器</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台</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1、双通道混响效果处理器；</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2、15个真正的立体声混响和15个传奇效果,256个多重效果/混响预置；</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3、自动数字输入感应24bit S/PDIF输入模式；</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 44.1/48kHz,24bit  A/D D/A转换器和24bit音频处理器；</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5、延时节拍输入,最长5秒延时,MIDI输入输出和节奏同步,内部供电；</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6、尺寸(宽X高X深)483x44x105.6mm,1U机架高度,重量：1.5kg。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val="en-US" w:eastAsia="zh-CN" w:bidi="ar"/>
              </w:rPr>
              <w:t>7</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8路电源时序器</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台</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1、独立的八路大功率电源输出，万能插座；</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2、单路最大输出为30A，总输入电流容量45A；</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3、八路通道开关状态可由面板控制操作和显示；</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4、提供RS232接口，可外接按键或连接中控系统或者PC控制软件，对通道开关进行时序全开和全关操作；</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5、开机时由前级到后级按顺序逐个启动各类设备，关机时由后级到前级逐个关闭各个设备，有效的统一管理控制用电设备，确保整个系统的稳定运行；</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6、电源输出: 8路，万能插座</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7、单路最大负荷: 30A</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8、控制方式: 手动顺序启动、PC控制软件控制、RS232中控控制</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9、电源容量: 总容量220V，45A</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10、输入电源: AC220-240/50Hz</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11、时序间隔: 1.5s。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val="en-US" w:eastAsia="zh-CN" w:bidi="ar"/>
              </w:rPr>
              <w:t>8</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茶几式音控实木柜</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台</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胡桃木（实木），表层贴木纹纸电喷漆。</w:t>
            </w:r>
          </w:p>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color w:val="auto"/>
                <w:sz w:val="21"/>
                <w:szCs w:val="21"/>
              </w:rPr>
              <w:drawing>
                <wp:anchor distT="0" distB="0" distL="114300" distR="114300" simplePos="0" relativeHeight="251665408" behindDoc="0" locked="0" layoutInCell="1" allowOverlap="1">
                  <wp:simplePos x="0" y="0"/>
                  <wp:positionH relativeFrom="column">
                    <wp:posOffset>920750</wp:posOffset>
                  </wp:positionH>
                  <wp:positionV relativeFrom="paragraph">
                    <wp:posOffset>76200</wp:posOffset>
                  </wp:positionV>
                  <wp:extent cx="733425" cy="584835"/>
                  <wp:effectExtent l="0" t="0" r="9525" b="5715"/>
                  <wp:wrapNone/>
                  <wp:docPr id="6" name="图片 8" descr="0992e260a9b44de9f7fc378fec43b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0992e260a9b44de9f7fc378fec43ba7"/>
                          <pic:cNvPicPr>
                            <a:picLocks noChangeAspect="1"/>
                          </pic:cNvPicPr>
                        </pic:nvPicPr>
                        <pic:blipFill>
                          <a:blip r:embed="rId5"/>
                          <a:stretch>
                            <a:fillRect/>
                          </a:stretch>
                        </pic:blipFill>
                        <pic:spPr>
                          <a:xfrm>
                            <a:off x="0" y="0"/>
                            <a:ext cx="733425" cy="584835"/>
                          </a:xfrm>
                          <a:prstGeom prst="rect">
                            <a:avLst/>
                          </a:prstGeom>
                          <a:noFill/>
                          <a:ln w="9525">
                            <a:noFill/>
                          </a:ln>
                        </pic:spPr>
                      </pic:pic>
                    </a:graphicData>
                  </a:graphic>
                </wp:anchor>
              </w:drawing>
            </w:r>
            <w:r>
              <w:rPr>
                <w:rFonts w:hint="eastAsia" w:ascii="仿宋" w:hAnsi="仿宋" w:eastAsia="仿宋" w:cs="仿宋"/>
                <w:color w:val="auto"/>
                <w:sz w:val="21"/>
                <w:szCs w:val="21"/>
              </w:rPr>
              <w:drawing>
                <wp:anchor distT="0" distB="0" distL="114300" distR="114300" simplePos="0" relativeHeight="251664384" behindDoc="0" locked="0" layoutInCell="1" allowOverlap="1">
                  <wp:simplePos x="0" y="0"/>
                  <wp:positionH relativeFrom="column">
                    <wp:posOffset>93980</wp:posOffset>
                  </wp:positionH>
                  <wp:positionV relativeFrom="paragraph">
                    <wp:posOffset>104775</wp:posOffset>
                  </wp:positionV>
                  <wp:extent cx="744220" cy="554355"/>
                  <wp:effectExtent l="0" t="0" r="17780" b="17145"/>
                  <wp:wrapNone/>
                  <wp:docPr id="7" name="图片 7" descr="1708abaf9a1cfc585bfa030a7133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8abaf9a1cfc585bfa030a71333c2"/>
                          <pic:cNvPicPr>
                            <a:picLocks noChangeAspect="1"/>
                          </pic:cNvPicPr>
                        </pic:nvPicPr>
                        <pic:blipFill>
                          <a:blip r:embed="rId6"/>
                          <a:stretch>
                            <a:fillRect/>
                          </a:stretch>
                        </pic:blipFill>
                        <pic:spPr>
                          <a:xfrm>
                            <a:off x="0" y="0"/>
                            <a:ext cx="744220" cy="554355"/>
                          </a:xfrm>
                          <a:prstGeom prst="rect">
                            <a:avLst/>
                          </a:prstGeom>
                          <a:noFill/>
                          <a:ln w="9525">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                          （图例借鉴）</w:t>
            </w:r>
          </w:p>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i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sz w:val="21"/>
                <w:szCs w:val="21"/>
                <w:lang w:val="en-US" w:eastAsia="zh-CN"/>
              </w:rPr>
              <w:t>9</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辅材及配件等</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批</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PVC管材及配件、无氧铜卡龙头、直插头、塑胶扎带、永久标签、3M防水电工胶带、膨胀钉、标件锣丝、过机线等工程施工辅材。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
                <w:bCs w:val="0"/>
                <w:color w:val="auto"/>
                <w:kern w:val="0"/>
                <w:sz w:val="21"/>
                <w:szCs w:val="21"/>
                <w:lang w:val="en-US" w:eastAsia="zh-CN" w:bidi="ar"/>
              </w:rPr>
              <w:t>二</w:t>
            </w:r>
          </w:p>
        </w:tc>
        <w:tc>
          <w:tcPr>
            <w:tcW w:w="9593"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 w:hAnsi="仿宋" w:eastAsia="仿宋" w:cs="仿宋"/>
                <w:color w:val="auto"/>
                <w:vertAlign w:val="baseline"/>
                <w:lang w:eastAsia="zh-CN"/>
              </w:rPr>
            </w:pPr>
            <w:r>
              <w:rPr>
                <w:rFonts w:hint="eastAsia" w:ascii="仿宋" w:hAnsi="仿宋" w:eastAsia="仿宋" w:cs="仿宋"/>
                <w:b/>
                <w:bCs w:val="0"/>
                <w:color w:val="auto"/>
                <w:sz w:val="21"/>
                <w:szCs w:val="21"/>
              </w:rPr>
              <w:t>重庆市第八中学校科技楼学术报告厅多媒体工程建设</w:t>
            </w:r>
            <w:r>
              <w:rPr>
                <w:rFonts w:hint="eastAsia" w:ascii="仿宋" w:hAnsi="仿宋" w:eastAsia="仿宋" w:cs="仿宋"/>
                <w:b/>
                <w:bCs w:val="0"/>
                <w:color w:val="auto"/>
                <w:sz w:val="21"/>
                <w:szCs w:val="21"/>
                <w:lang w:eastAsia="zh-CN"/>
              </w:rPr>
              <w:t>部份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val="en-US" w:eastAsia="zh-CN" w:bidi="ar"/>
              </w:rPr>
              <w:t>1</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科技楼6楼学术报告厅</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专业级后置音箱</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2</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只</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b/>
                <w:i w:val="0"/>
                <w:color w:val="auto"/>
                <w:kern w:val="0"/>
                <w:sz w:val="21"/>
                <w:szCs w:val="21"/>
                <w:u w:val="none"/>
                <w:lang w:val="en-US" w:eastAsia="zh-CN" w:bidi="ar"/>
              </w:rPr>
              <w:t>注：</w:t>
            </w:r>
            <w:r>
              <w:rPr>
                <w:rStyle w:val="20"/>
                <w:rFonts w:hint="eastAsia" w:ascii="仿宋" w:hAnsi="仿宋" w:eastAsia="仿宋" w:cs="仿宋"/>
                <w:color w:val="auto"/>
                <w:sz w:val="21"/>
                <w:szCs w:val="21"/>
                <w:lang w:val="en-US" w:eastAsia="zh-CN" w:bidi="ar"/>
              </w:rPr>
              <w:t>原JBL CONTROL 25音箱已损坏，更换；</w:t>
            </w:r>
            <w:r>
              <w:rPr>
                <w:rStyle w:val="20"/>
                <w:rFonts w:hint="eastAsia" w:ascii="仿宋" w:hAnsi="仿宋" w:eastAsia="仿宋" w:cs="仿宋"/>
                <w:color w:val="auto"/>
                <w:sz w:val="21"/>
                <w:szCs w:val="21"/>
                <w:lang w:val="en-US" w:eastAsia="zh-CN" w:bidi="ar"/>
              </w:rPr>
              <w:br w:type="textWrapping"/>
            </w:r>
            <w:r>
              <w:rPr>
                <w:rStyle w:val="20"/>
                <w:rFonts w:hint="eastAsia" w:ascii="仿宋" w:hAnsi="仿宋" w:eastAsia="仿宋" w:cs="仿宋"/>
                <w:color w:val="auto"/>
                <w:sz w:val="21"/>
                <w:szCs w:val="21"/>
                <w:lang w:val="en-US" w:eastAsia="zh-CN" w:bidi="ar"/>
              </w:rPr>
              <w:t>1、系统类型：10”两分频低频反射式音箱；</w:t>
            </w:r>
            <w:r>
              <w:rPr>
                <w:rStyle w:val="20"/>
                <w:rFonts w:hint="eastAsia" w:ascii="仿宋" w:hAnsi="仿宋" w:eastAsia="仿宋" w:cs="仿宋"/>
                <w:color w:val="auto"/>
                <w:sz w:val="21"/>
                <w:szCs w:val="21"/>
                <w:lang w:val="en-US" w:eastAsia="zh-CN" w:bidi="ar"/>
              </w:rPr>
              <w:br w:type="textWrapping"/>
            </w:r>
            <w:r>
              <w:rPr>
                <w:rStyle w:val="20"/>
                <w:rFonts w:hint="eastAsia" w:ascii="仿宋" w:hAnsi="仿宋" w:eastAsia="仿宋" w:cs="仿宋"/>
                <w:color w:val="auto"/>
                <w:sz w:val="21"/>
                <w:szCs w:val="21"/>
                <w:lang w:val="en-US" w:eastAsia="zh-CN" w:bidi="ar"/>
              </w:rPr>
              <w:t>2、频率范围（-10 dB）：50Hz - 20kHz；</w:t>
            </w:r>
            <w:r>
              <w:rPr>
                <w:rStyle w:val="20"/>
                <w:rFonts w:hint="eastAsia" w:ascii="仿宋" w:hAnsi="仿宋" w:eastAsia="仿宋" w:cs="仿宋"/>
                <w:color w:val="auto"/>
                <w:sz w:val="21"/>
                <w:szCs w:val="21"/>
                <w:lang w:val="en-US" w:eastAsia="zh-CN" w:bidi="ar"/>
              </w:rPr>
              <w:br w:type="textWrapping"/>
            </w:r>
            <w:r>
              <w:rPr>
                <w:rStyle w:val="20"/>
                <w:rFonts w:hint="eastAsia" w:ascii="仿宋" w:hAnsi="仿宋" w:eastAsia="仿宋" w:cs="仿宋"/>
                <w:color w:val="auto"/>
                <w:sz w:val="21"/>
                <w:szCs w:val="21"/>
                <w:lang w:val="en-US" w:eastAsia="zh-CN" w:bidi="ar"/>
              </w:rPr>
              <w:t>3、频率响应（±3 dB）：85Hz - 18kHz；</w:t>
            </w:r>
            <w:r>
              <w:rPr>
                <w:rStyle w:val="20"/>
                <w:rFonts w:hint="eastAsia" w:ascii="仿宋" w:hAnsi="仿宋" w:eastAsia="仿宋" w:cs="仿宋"/>
                <w:color w:val="auto"/>
                <w:sz w:val="21"/>
                <w:szCs w:val="21"/>
                <w:lang w:val="en-US" w:eastAsia="zh-CN" w:bidi="ar"/>
              </w:rPr>
              <w:br w:type="textWrapping"/>
            </w:r>
            <w:r>
              <w:rPr>
                <w:rStyle w:val="20"/>
                <w:rFonts w:hint="eastAsia" w:ascii="仿宋" w:hAnsi="仿宋" w:eastAsia="仿宋" w:cs="仿宋"/>
                <w:color w:val="auto"/>
                <w:sz w:val="21"/>
                <w:szCs w:val="21"/>
                <w:lang w:val="en-US" w:eastAsia="zh-CN" w:bidi="ar"/>
              </w:rPr>
              <w:t>4、灵敏度（1w @ 1m）：95dB；额定阻抗：8 Ω；</w:t>
            </w:r>
            <w:r>
              <w:rPr>
                <w:rStyle w:val="20"/>
                <w:rFonts w:hint="eastAsia" w:ascii="仿宋" w:hAnsi="仿宋" w:eastAsia="仿宋" w:cs="仿宋"/>
                <w:color w:val="auto"/>
                <w:sz w:val="21"/>
                <w:szCs w:val="21"/>
                <w:lang w:val="en-US" w:eastAsia="zh-CN" w:bidi="ar"/>
              </w:rPr>
              <w:br w:type="textWrapping"/>
            </w:r>
            <w:r>
              <w:rPr>
                <w:rStyle w:val="20"/>
                <w:rFonts w:hint="eastAsia" w:ascii="仿宋" w:hAnsi="仿宋" w:eastAsia="仿宋" w:cs="仿宋"/>
                <w:color w:val="auto"/>
                <w:sz w:val="21"/>
                <w:szCs w:val="21"/>
                <w:lang w:val="en-US" w:eastAsia="zh-CN" w:bidi="ar"/>
              </w:rPr>
              <w:t>6、最大声压级输出（1m）：120 dB长期最大功率（126 dB峰值）；</w:t>
            </w:r>
            <w:r>
              <w:rPr>
                <w:rStyle w:val="20"/>
                <w:rFonts w:hint="eastAsia" w:ascii="仿宋" w:hAnsi="仿宋" w:eastAsia="仿宋" w:cs="仿宋"/>
                <w:color w:val="auto"/>
                <w:sz w:val="21"/>
                <w:szCs w:val="21"/>
                <w:lang w:val="en-US" w:eastAsia="zh-CN" w:bidi="ar"/>
              </w:rPr>
              <w:br w:type="textWrapping"/>
            </w:r>
            <w:r>
              <w:rPr>
                <w:rStyle w:val="20"/>
                <w:rFonts w:hint="eastAsia" w:ascii="仿宋" w:hAnsi="仿宋" w:eastAsia="仿宋" w:cs="仿宋"/>
                <w:color w:val="auto"/>
                <w:sz w:val="21"/>
                <w:szCs w:val="21"/>
                <w:lang w:val="en-US" w:eastAsia="zh-CN" w:bidi="ar"/>
              </w:rPr>
              <w:t xml:space="preserve">7、额定功率：250 W/600 W/1200 W（连续/音乐信号/峰值）； </w:t>
            </w:r>
            <w:r>
              <w:rPr>
                <w:rStyle w:val="20"/>
                <w:rFonts w:hint="eastAsia" w:ascii="仿宋" w:hAnsi="仿宋" w:eastAsia="仿宋" w:cs="仿宋"/>
                <w:color w:val="auto"/>
                <w:sz w:val="21"/>
                <w:szCs w:val="21"/>
                <w:lang w:val="en-US" w:eastAsia="zh-CN" w:bidi="ar"/>
              </w:rPr>
              <w:br w:type="textWrapping"/>
            </w:r>
            <w:r>
              <w:rPr>
                <w:rStyle w:val="20"/>
                <w:rFonts w:hint="eastAsia" w:ascii="仿宋" w:hAnsi="仿宋" w:eastAsia="仿宋" w:cs="仿宋"/>
                <w:color w:val="auto"/>
                <w:sz w:val="21"/>
                <w:szCs w:val="21"/>
                <w:lang w:val="en-US" w:eastAsia="zh-CN" w:bidi="ar"/>
              </w:rPr>
              <w:t>8、覆盖角：100°×70°H × V）；</w:t>
            </w:r>
            <w:r>
              <w:rPr>
                <w:rStyle w:val="20"/>
                <w:rFonts w:hint="eastAsia" w:ascii="仿宋" w:hAnsi="仿宋" w:eastAsia="仿宋" w:cs="仿宋"/>
                <w:color w:val="auto"/>
                <w:sz w:val="21"/>
                <w:szCs w:val="21"/>
                <w:lang w:val="en-US" w:eastAsia="zh-CN" w:bidi="ar"/>
              </w:rPr>
              <w:br w:type="textWrapping"/>
            </w:r>
            <w:r>
              <w:rPr>
                <w:rStyle w:val="20"/>
                <w:rFonts w:hint="eastAsia" w:ascii="仿宋" w:hAnsi="仿宋" w:eastAsia="仿宋" w:cs="仿宋"/>
                <w:color w:val="auto"/>
                <w:sz w:val="21"/>
                <w:szCs w:val="21"/>
                <w:lang w:val="en-US" w:eastAsia="zh-CN" w:bidi="ar"/>
              </w:rPr>
              <w:t>9、低音单元：1×10”低音单元；</w:t>
            </w:r>
            <w:r>
              <w:rPr>
                <w:rStyle w:val="20"/>
                <w:rFonts w:hint="eastAsia" w:ascii="仿宋" w:hAnsi="仿宋" w:eastAsia="仿宋" w:cs="仿宋"/>
                <w:color w:val="auto"/>
                <w:sz w:val="21"/>
                <w:szCs w:val="21"/>
                <w:lang w:val="en-US" w:eastAsia="zh-CN" w:bidi="ar"/>
              </w:rPr>
              <w:br w:type="textWrapping"/>
            </w:r>
            <w:r>
              <w:rPr>
                <w:rStyle w:val="20"/>
                <w:rFonts w:hint="eastAsia" w:ascii="仿宋" w:hAnsi="仿宋" w:eastAsia="仿宋" w:cs="仿宋"/>
                <w:color w:val="auto"/>
                <w:sz w:val="21"/>
                <w:szCs w:val="21"/>
                <w:lang w:val="en-US" w:eastAsia="zh-CN" w:bidi="ar"/>
              </w:rPr>
              <w:t>10、高音单元：1×2414H-C高音单元。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bCs/>
                <w:color w:val="auto"/>
                <w:kern w:val="0"/>
                <w:sz w:val="21"/>
                <w:szCs w:val="21"/>
                <w:lang w:val="en-US" w:eastAsia="zh-CN" w:bidi="ar"/>
              </w:rPr>
              <w:t>2</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音箱支架</w:t>
            </w:r>
          </w:p>
        </w:tc>
        <w:tc>
          <w:tcPr>
            <w:tcW w:w="53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2</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副</w:t>
            </w:r>
          </w:p>
        </w:tc>
        <w:tc>
          <w:tcPr>
            <w:tcW w:w="642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auto"/>
                <w:vertAlign w:val="baseline"/>
                <w:lang w:eastAsia="zh-CN"/>
              </w:rPr>
            </w:pPr>
            <w:r>
              <w:rPr>
                <w:rFonts w:hint="eastAsia" w:ascii="仿宋" w:hAnsi="仿宋" w:eastAsia="仿宋" w:cs="仿宋"/>
                <w:i w:val="0"/>
                <w:color w:val="auto"/>
                <w:kern w:val="0"/>
                <w:sz w:val="21"/>
                <w:szCs w:val="21"/>
                <w:u w:val="none"/>
                <w:lang w:val="en-US" w:eastAsia="zh-CN" w:bidi="ar"/>
              </w:rPr>
              <w:t>1、可左右调节角度；</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2、可上下调节角度；</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3、中间连接杆可伸缩调节；</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4、用料扎实，稳定性强；</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5、单只可承重80kg，</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6、调整角度: ±15 °，中间连接杆可伸缩调节。</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outlineLvl w:val="9"/>
        <w:rPr>
          <w:rFonts w:hint="eastAsia" w:ascii="仿宋" w:hAnsi="仿宋" w:eastAsia="仿宋" w:cs="仿宋"/>
          <w:b w:val="0"/>
          <w:bCs/>
          <w:color w:val="auto"/>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outlineLvl w:val="9"/>
        <w:rPr>
          <w:rFonts w:hint="eastAsia" w:ascii="仿宋" w:hAnsi="仿宋" w:eastAsia="仿宋" w:cs="仿宋"/>
          <w:b w:val="0"/>
          <w:bCs/>
          <w:color w:val="auto"/>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（三）其他要求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1）本工程技术要求见现行规范（标准）的规定及合同条款相关要求，供应商提供的货物及制作安装采用的各种配件、材料均必须满足上述表中各项技术参数及要求；允许供应商增添设备（或软件）以提升整体性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 xml:space="preserve">（2）在“（二）项目货物名称、数量及技术参数需求”中带★号的条款必须满足，不满足的投标供应商将取消投标资格。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（3）安装要求及建设规范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3.1、本项目属于“交钥匙”工程。中标人须负责对所中标的设施设备完成相应系统的安装集成和调试工作，并提供安装中所需的（国优规范）全部线材、管材、辅材、配件、配品等（包括开孔、开槽、打井等），保证各相应系统能正常使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3.2、中标人在实施设施设备安装时，须按照采购人指定的相关安装地点进行安装调试。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3.3、建设规范</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1、《建筑与建筑群综合布线系统工程设计规范》GB/T 50311-2007。</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2、《建筑与建筑群综合布线系统工程验收规范》GB/T 50312-2007。</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3、《智能建筑设计标准》GB/T 50314-2006。</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4、《智能建筑工程质量验收规范》GB/T50339-2003。</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5、布线标准TIA/EIA568A。</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6、电磁兼容标准（EMC）55022—B。</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both"/>
        <w:textAlignment w:val="center"/>
        <w:outlineLvl w:val="9"/>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7、中标设备生产厂家规定的安装标准。</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三、完成时间</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签订合同后</w:t>
      </w:r>
      <w:r>
        <w:rPr>
          <w:rFonts w:hint="eastAsia" w:ascii="仿宋" w:hAnsi="仿宋" w:eastAsia="仿宋" w:cs="仿宋"/>
          <w:b/>
          <w:color w:val="auto"/>
          <w:lang w:val="en-US" w:eastAsia="zh-CN"/>
        </w:rPr>
        <w:t>1</w:t>
      </w:r>
      <w:r>
        <w:rPr>
          <w:rFonts w:hint="eastAsia" w:ascii="仿宋" w:hAnsi="仿宋" w:eastAsia="仿宋" w:cs="仿宋"/>
          <w:b/>
          <w:color w:val="auto"/>
        </w:rPr>
        <w:t>0个</w:t>
      </w:r>
      <w:r>
        <w:rPr>
          <w:rFonts w:hint="eastAsia" w:ascii="仿宋" w:hAnsi="仿宋" w:eastAsia="仿宋" w:cs="仿宋"/>
          <w:bCs/>
          <w:color w:val="auto"/>
        </w:rPr>
        <w:t>日历日</w:t>
      </w:r>
      <w:r>
        <w:rPr>
          <w:rFonts w:hint="eastAsia" w:ascii="仿宋" w:hAnsi="仿宋" w:eastAsia="仿宋" w:cs="仿宋"/>
          <w:color w:val="auto"/>
        </w:rPr>
        <w:t>内完成，包括系统设备安装及调试时间。</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四、投标资质要求</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2、具有良好的商业信誉和健全的财务会计制度；</w:t>
      </w:r>
    </w:p>
    <w:p>
      <w:pPr>
        <w:pStyle w:val="6"/>
        <w:pageBreakBefore w:val="0"/>
        <w:kinsoku/>
        <w:wordWrap/>
        <w:overflowPunct/>
        <w:topLinePunct w:val="0"/>
        <w:autoSpaceDE/>
        <w:autoSpaceDN/>
        <w:bidi w:val="0"/>
        <w:adjustRightInd/>
        <w:spacing w:after="0"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3、具有履行合同所必需的设备和专业技术能力；</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4、有依法缴纳税收和社会保障资金的良好记录；</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auto"/>
        </w:rPr>
        <w:t>5、参加政府采购活动近三年内，在经营活动中没有重大违法记录</w:t>
      </w:r>
      <w:r>
        <w:rPr>
          <w:rFonts w:hint="eastAsia" w:ascii="仿宋" w:hAnsi="仿宋" w:eastAsia="仿宋" w:cs="仿宋"/>
          <w:color w:val="auto"/>
          <w:lang w:val="en-US" w:eastAsia="zh-CN"/>
        </w:rPr>
        <w:t>。</w:t>
      </w:r>
    </w:p>
    <w:p>
      <w:pPr>
        <w:pStyle w:val="6"/>
        <w:pageBreakBefore w:val="0"/>
        <w:kinsoku/>
        <w:wordWrap/>
        <w:overflowPunct/>
        <w:topLinePunct w:val="0"/>
        <w:autoSpaceDE/>
        <w:autoSpaceDN/>
        <w:bidi w:val="0"/>
        <w:adjustRightInd/>
        <w:spacing w:after="0" w:line="324" w:lineRule="auto"/>
        <w:jc w:val="both"/>
        <w:textAlignment w:val="auto"/>
        <w:rPr>
          <w:rFonts w:hint="eastAsia" w:ascii="仿宋" w:hAnsi="仿宋" w:eastAsia="仿宋" w:cs="仿宋"/>
          <w:b/>
          <w:bCs/>
          <w:color w:val="auto"/>
        </w:rPr>
      </w:pPr>
      <w:r>
        <w:rPr>
          <w:rFonts w:hint="eastAsia" w:ascii="仿宋" w:hAnsi="仿宋" w:eastAsia="仿宋" w:cs="仿宋"/>
          <w:b/>
          <w:bCs/>
          <w:color w:val="auto"/>
        </w:rPr>
        <w:t>五、招标文件的获取</w:t>
      </w:r>
    </w:p>
    <w:p>
      <w:pPr>
        <w:pStyle w:val="6"/>
        <w:pageBreakBefore w:val="0"/>
        <w:kinsoku/>
        <w:wordWrap/>
        <w:overflowPunct/>
        <w:topLinePunct w:val="0"/>
        <w:autoSpaceDE/>
        <w:autoSpaceDN/>
        <w:bidi w:val="0"/>
        <w:adjustRightInd/>
        <w:spacing w:after="0" w:line="324" w:lineRule="auto"/>
        <w:ind w:firstLine="120" w:firstLineChars="50"/>
        <w:jc w:val="both"/>
        <w:textAlignment w:val="auto"/>
        <w:rPr>
          <w:rFonts w:hint="eastAsia" w:ascii="仿宋" w:hAnsi="仿宋" w:eastAsia="仿宋" w:cs="仿宋"/>
          <w:color w:val="auto"/>
        </w:rPr>
      </w:pPr>
      <w:r>
        <w:rPr>
          <w:rFonts w:hint="eastAsia" w:ascii="仿宋" w:hAnsi="仿宋" w:eastAsia="仿宋" w:cs="仿宋"/>
          <w:color w:val="auto"/>
        </w:rPr>
        <w:t>通过我校网站（http://www.cqbz.cn）通知公告栏进行下载。</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六、投标书递交 </w:t>
      </w:r>
    </w:p>
    <w:p>
      <w:pPr>
        <w:pStyle w:val="6"/>
        <w:pageBreakBefore w:val="0"/>
        <w:kinsoku/>
        <w:wordWrap/>
        <w:overflowPunct/>
        <w:topLinePunct w:val="0"/>
        <w:autoSpaceDE/>
        <w:autoSpaceDN/>
        <w:bidi w:val="0"/>
        <w:adjustRightInd/>
        <w:spacing w:after="0"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color w:val="auto"/>
          <w:lang w:val="en-US" w:eastAsia="zh-CN"/>
        </w:rPr>
        <w:t>1</w:t>
      </w:r>
      <w:r>
        <w:rPr>
          <w:rFonts w:hint="eastAsia" w:ascii="仿宋" w:hAnsi="仿宋" w:eastAsia="仿宋" w:cs="仿宋"/>
          <w:color w:val="auto"/>
        </w:rPr>
        <w:t>年。</w:t>
      </w:r>
    </w:p>
    <w:p>
      <w:pPr>
        <w:pStyle w:val="6"/>
        <w:pageBreakBefore w:val="0"/>
        <w:widowControl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七、评标办法</w:t>
      </w:r>
    </w:p>
    <w:p>
      <w:pPr>
        <w:pStyle w:val="6"/>
        <w:pageBreakBefore w:val="0"/>
        <w:widowControl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八、投标时间和投标地点</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投标时间：</w:t>
      </w:r>
      <w:r>
        <w:rPr>
          <w:rFonts w:hint="eastAsia" w:ascii="仿宋" w:hAnsi="仿宋" w:eastAsia="仿宋" w:cs="仿宋"/>
          <w:color w:val="auto"/>
          <w:szCs w:val="21"/>
        </w:rPr>
        <w:t>201</w:t>
      </w:r>
      <w:r>
        <w:rPr>
          <w:rFonts w:hint="eastAsia" w:ascii="仿宋" w:hAnsi="仿宋" w:eastAsia="仿宋" w:cs="仿宋"/>
          <w:color w:val="auto"/>
          <w:szCs w:val="21"/>
          <w:lang w:val="en-US" w:eastAsia="zh-CN"/>
        </w:rPr>
        <w:t>9</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01</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11</w:t>
      </w:r>
      <w:r>
        <w:rPr>
          <w:rFonts w:hint="eastAsia" w:ascii="仿宋" w:hAnsi="仿宋" w:eastAsia="仿宋" w:cs="仿宋"/>
          <w:color w:val="auto"/>
          <w:szCs w:val="21"/>
        </w:rPr>
        <w:t>日14:30~16:00（北京时间）</w:t>
      </w:r>
    </w:p>
    <w:p>
      <w:pPr>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rPr>
        <w:t>投标地点：</w:t>
      </w:r>
      <w:r>
        <w:rPr>
          <w:rFonts w:hint="eastAsia" w:ascii="仿宋" w:hAnsi="仿宋" w:eastAsia="仿宋" w:cs="仿宋"/>
          <w:color w:val="auto"/>
          <w:kern w:val="0"/>
          <w:sz w:val="24"/>
          <w:szCs w:val="21"/>
        </w:rPr>
        <w:t>重庆市第八中学校</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lang w:eastAsia="zh-CN"/>
        </w:rPr>
        <w:t>谢</w:t>
      </w:r>
      <w:r>
        <w:rPr>
          <w:rFonts w:hint="eastAsia" w:ascii="仿宋" w:hAnsi="仿宋" w:eastAsia="仿宋" w:cs="仿宋"/>
          <w:color w:val="auto"/>
        </w:rPr>
        <w:t>老师</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auto"/>
        </w:rPr>
        <w:t>联系电话：023-6</w:t>
      </w:r>
      <w:r>
        <w:rPr>
          <w:rFonts w:hint="eastAsia" w:ascii="仿宋" w:hAnsi="仿宋" w:eastAsia="仿宋" w:cs="仿宋"/>
          <w:color w:val="auto"/>
          <w:lang w:val="en-US" w:eastAsia="zh-CN"/>
        </w:rPr>
        <w:t>5013045</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九、付款方式：</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十、投标文件的编制内容及格式</w:t>
      </w:r>
    </w:p>
    <w:p>
      <w:pPr>
        <w:pStyle w:val="6"/>
        <w:pageBreakBefore w:val="0"/>
        <w:kinsoku/>
        <w:wordWrap/>
        <w:overflowPunct/>
        <w:topLinePunct w:val="0"/>
        <w:autoSpaceDE/>
        <w:autoSpaceDN/>
        <w:bidi w:val="0"/>
        <w:adjustRightInd/>
        <w:spacing w:after="0" w:line="324" w:lineRule="auto"/>
        <w:jc w:val="both"/>
        <w:textAlignment w:val="auto"/>
        <w:rPr>
          <w:rFonts w:hint="eastAsia" w:ascii="仿宋" w:hAnsi="仿宋" w:eastAsia="仿宋" w:cs="仿宋"/>
          <w:color w:val="auto"/>
        </w:rPr>
      </w:pPr>
      <w:r>
        <w:rPr>
          <w:rFonts w:hint="eastAsia" w:ascii="仿宋" w:hAnsi="仿宋" w:eastAsia="仿宋" w:cs="仿宋"/>
          <w:color w:val="auto"/>
        </w:rPr>
        <w:t>（一）投标文件编制内容</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1、报价明细表（附格式）。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3、法定代表人身份证明书（附格式）；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4、法定代表人授权委托书（附格式）；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5、诚信声明（附格式）；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6、投标函（附格式）；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7、售后服务方案（格式自拟）。</w:t>
      </w:r>
    </w:p>
    <w:p>
      <w:pPr>
        <w:widowControl/>
        <w:jc w:val="left"/>
        <w:rPr>
          <w:rFonts w:hint="eastAsia" w:ascii="仿宋" w:hAnsi="仿宋" w:eastAsia="仿宋" w:cs="仿宋"/>
          <w:color w:val="auto"/>
          <w:sz w:val="24"/>
          <w:szCs w:val="24"/>
        </w:rPr>
      </w:pPr>
      <w:bookmarkStart w:id="0" w:name="_Toc161727399"/>
      <w:r>
        <w:rPr>
          <w:rFonts w:hint="eastAsia" w:ascii="仿宋" w:hAnsi="仿宋" w:eastAsia="仿宋" w:cs="仿宋"/>
          <w:color w:val="auto"/>
          <w:sz w:val="24"/>
          <w:szCs w:val="24"/>
        </w:rPr>
        <w:br w:type="page"/>
      </w:r>
    </w:p>
    <w:p>
      <w:pPr>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（二）投标文件格式</w:t>
      </w:r>
    </w:p>
    <w:p>
      <w:pPr>
        <w:snapToGrid w:val="0"/>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1、分项报价明细表</w:t>
      </w:r>
      <w:bookmarkEnd w:id="0"/>
      <w:r>
        <w:rPr>
          <w:rFonts w:hint="eastAsia" w:ascii="仿宋" w:hAnsi="仿宋" w:eastAsia="仿宋" w:cs="仿宋"/>
          <w:color w:val="auto"/>
          <w:sz w:val="24"/>
          <w:szCs w:val="24"/>
        </w:rPr>
        <w:t>（格式）</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p>
    <w:tbl>
      <w:tblPr>
        <w:tblStyle w:val="9"/>
        <w:tblW w:w="8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41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相关信息（品牌、规格型号、制造商、产地等）</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综合单价</w:t>
            </w:r>
          </w:p>
        </w:tc>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vAlign w:val="center"/>
          </w:tcPr>
          <w:p>
            <w:pPr>
              <w:jc w:val="center"/>
              <w:outlineLvl w:val="0"/>
              <w:rPr>
                <w:rFonts w:hint="eastAsia" w:ascii="仿宋" w:hAnsi="仿宋" w:eastAsia="仿宋" w:cs="仿宋"/>
                <w:color w:val="auto"/>
                <w:sz w:val="24"/>
                <w:szCs w:val="24"/>
              </w:rPr>
            </w:pPr>
          </w:p>
        </w:tc>
        <w:tc>
          <w:tcPr>
            <w:tcW w:w="124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总计</w:t>
            </w:r>
          </w:p>
        </w:tc>
        <w:tc>
          <w:tcPr>
            <w:tcW w:w="6695" w:type="dxa"/>
            <w:gridSpan w:val="4"/>
            <w:vAlign w:val="center"/>
          </w:tcPr>
          <w:p>
            <w:pPr>
              <w:jc w:val="center"/>
              <w:rPr>
                <w:rFonts w:hint="eastAsia" w:ascii="仿宋" w:hAnsi="仿宋" w:eastAsia="仿宋" w:cs="仿宋"/>
                <w:color w:val="auto"/>
                <w:sz w:val="24"/>
                <w:szCs w:val="24"/>
              </w:rPr>
            </w:pPr>
          </w:p>
        </w:tc>
      </w:tr>
    </w:tbl>
    <w:p>
      <w:pPr>
        <w:spacing w:line="500" w:lineRule="exact"/>
        <w:ind w:firstLine="480" w:firstLineChars="200"/>
        <w:rPr>
          <w:rFonts w:hint="eastAsia" w:ascii="仿宋" w:hAnsi="仿宋" w:eastAsia="仿宋" w:cs="仿宋"/>
          <w:color w:val="auto"/>
          <w:sz w:val="24"/>
          <w:szCs w:val="24"/>
        </w:rPr>
      </w:pPr>
    </w:p>
    <w:p>
      <w:pPr>
        <w:spacing w:line="500" w:lineRule="exact"/>
        <w:ind w:firstLine="480" w:firstLineChars="200"/>
        <w:rPr>
          <w:rFonts w:hint="eastAsia" w:ascii="仿宋" w:hAnsi="仿宋" w:eastAsia="仿宋" w:cs="仿宋"/>
          <w:color w:val="auto"/>
          <w:sz w:val="24"/>
          <w:szCs w:val="24"/>
        </w:rPr>
      </w:pPr>
    </w:p>
    <w:p>
      <w:pPr>
        <w:spacing w:line="50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投标人：                                  法人授权代表：</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（投标人公章）                               （签字或盖章）</w:t>
      </w:r>
    </w:p>
    <w:p>
      <w:pPr>
        <w:spacing w:line="500" w:lineRule="exact"/>
        <w:rPr>
          <w:rFonts w:hint="eastAsia" w:ascii="仿宋" w:hAnsi="仿宋" w:eastAsia="仿宋" w:cs="仿宋"/>
          <w:color w:val="auto"/>
          <w:sz w:val="24"/>
          <w:szCs w:val="24"/>
        </w:rPr>
      </w:pPr>
      <w:bookmarkStart w:id="10" w:name="_GoBack"/>
      <w:bookmarkEnd w:id="10"/>
    </w:p>
    <w:p>
      <w:pPr>
        <w:spacing w:line="500" w:lineRule="exact"/>
        <w:rPr>
          <w:rFonts w:hint="eastAsia" w:ascii="仿宋" w:hAnsi="仿宋" w:eastAsia="仿宋" w:cs="仿宋"/>
          <w:color w:val="auto"/>
          <w:sz w:val="24"/>
          <w:szCs w:val="24"/>
        </w:rPr>
      </w:pP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pPr>
        <w:spacing w:line="500" w:lineRule="exact"/>
        <w:ind w:firstLine="482" w:firstLineChars="200"/>
        <w:rPr>
          <w:rFonts w:hint="eastAsia" w:ascii="仿宋" w:hAnsi="仿宋" w:eastAsia="仿宋" w:cs="仿宋"/>
          <w:b/>
          <w:color w:val="auto"/>
          <w:sz w:val="24"/>
          <w:szCs w:val="24"/>
        </w:rPr>
      </w:pPr>
      <w:bookmarkStart w:id="1" w:name="_Toc322965783"/>
      <w:bookmarkStart w:id="2" w:name="_Toc316479515"/>
      <w:bookmarkStart w:id="3" w:name="_Toc313883490"/>
      <w:bookmarkStart w:id="4" w:name="_Toc340223171"/>
    </w:p>
    <w:p>
      <w:pPr>
        <w:spacing w:line="500" w:lineRule="exact"/>
        <w:ind w:firstLine="482" w:firstLineChars="200"/>
        <w:rPr>
          <w:rFonts w:hint="eastAsia" w:ascii="仿宋" w:hAnsi="仿宋" w:eastAsia="仿宋" w:cs="仿宋"/>
          <w:b/>
          <w:color w:val="auto"/>
          <w:sz w:val="24"/>
          <w:szCs w:val="24"/>
        </w:rPr>
      </w:pPr>
    </w:p>
    <w:bookmarkEnd w:id="1"/>
    <w:bookmarkEnd w:id="2"/>
    <w:bookmarkEnd w:id="3"/>
    <w:bookmarkEnd w:id="4"/>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2、法定代表人身份证明书（格式）</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（法定代表人姓名）在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（职务名称）职务，是（投标人名称）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的法定代表人。</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（投标人公章）</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br w:type="column"/>
      </w:r>
      <w:r>
        <w:rPr>
          <w:rFonts w:hint="eastAsia" w:ascii="仿宋" w:hAnsi="仿宋" w:eastAsia="仿宋" w:cs="仿宋"/>
          <w:color w:val="auto"/>
          <w:sz w:val="24"/>
          <w:szCs w:val="24"/>
        </w:rPr>
        <w:t>3、法定代表人授权委托书（格式）</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（投标人法定代表人名称）是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（投标人名称）的法定代表人，特授权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我单位对被授权人的签名负全部责任。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被授权人签名：               投标人法定代表人签名：</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（附：被授权人身份证复印件）</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0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br w:type="column"/>
      </w:r>
      <w:r>
        <w:rPr>
          <w:rFonts w:hint="eastAsia" w:ascii="仿宋" w:hAnsi="仿宋" w:eastAsia="仿宋" w:cs="仿宋"/>
          <w:color w:val="auto"/>
          <w:sz w:val="24"/>
          <w:szCs w:val="24"/>
        </w:rPr>
        <w:t>4、诚信声明（格式）</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特此声明。</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0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br w:type="page"/>
      </w:r>
    </w:p>
    <w:p>
      <w:pPr>
        <w:snapToGrid w:val="0"/>
        <w:spacing w:before="156" w:beforeLines="50"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5、投标函（格式）</w:t>
      </w:r>
    </w:p>
    <w:p>
      <w:pPr>
        <w:spacing w:line="500" w:lineRule="exact"/>
        <w:rPr>
          <w:rFonts w:hint="eastAsia" w:ascii="仿宋" w:hAnsi="仿宋" w:eastAsia="仿宋" w:cs="仿宋"/>
          <w:color w:val="auto"/>
          <w:sz w:val="24"/>
          <w:szCs w:val="24"/>
        </w:rPr>
      </w:pPr>
    </w:p>
    <w:p>
      <w:pPr>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p>
    <w:p>
      <w:pPr>
        <w:tabs>
          <w:tab w:val="left" w:pos="6300"/>
        </w:tabs>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snapToGrid w:val="0"/>
        <w:spacing w:before="156" w:beforeLines="5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（投标人名称）系中华人民共和国合法企业，注册地址：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。我方就参加本次投标有关事项郑重声明如下：</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四、我方按招标文件要求提交的投标文件为：投标文件正本1份，副本1份。</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五、我方承诺：本次投标的投标有效期为90天。</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六、如果我方成交，我方将履行招标文件中规定的各项要求以及我方投标文件的各项承诺，按《政府采购法》、《合同法》及合同约定条款承担我方责任。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七、我方理解，最低报价不是成交的唯一条件。</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八、我方同意按有关规定及招标文件要求，缴纳足额投标保证金。</w:t>
      </w:r>
    </w:p>
    <w:p>
      <w:pPr>
        <w:tabs>
          <w:tab w:val="left" w:pos="6300"/>
        </w:tabs>
        <w:snapToGrid w:val="0"/>
        <w:spacing w:line="500" w:lineRule="exact"/>
        <w:ind w:firstLine="480" w:firstLineChars="20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460" w:firstLineChars="2275"/>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60" w:firstLineChars="2400"/>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5760" w:firstLineChars="2400"/>
        <w:rPr>
          <w:rFonts w:hint="eastAsia" w:ascii="仿宋" w:hAnsi="仿宋" w:eastAsia="仿宋" w:cs="仿宋"/>
          <w:color w:val="auto"/>
          <w:sz w:val="24"/>
          <w:szCs w:val="24"/>
        </w:rPr>
      </w:pPr>
    </w:p>
    <w:p>
      <w:pPr>
        <w:tabs>
          <w:tab w:val="left" w:pos="6300"/>
        </w:tabs>
        <w:snapToGrid w:val="0"/>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6、售后服务承诺（格式自拟）</w:t>
      </w:r>
    </w:p>
    <w:p>
      <w:pPr>
        <w:widowControl/>
        <w:jc w:val="center"/>
        <w:rPr>
          <w:rFonts w:hint="eastAsia" w:ascii="仿宋" w:hAnsi="仿宋" w:eastAsia="仿宋" w:cs="仿宋"/>
          <w:color w:val="auto"/>
          <w:sz w:val="24"/>
          <w:szCs w:val="24"/>
        </w:rPr>
      </w:pPr>
      <w:bookmarkStart w:id="5" w:name="_Toc161727398"/>
      <w:r>
        <w:rPr>
          <w:rFonts w:hint="eastAsia" w:ascii="仿宋" w:hAnsi="仿宋" w:eastAsia="仿宋" w:cs="仿宋"/>
          <w:color w:val="auto"/>
          <w:sz w:val="24"/>
          <w:szCs w:val="24"/>
        </w:rPr>
        <w:br w:type="page"/>
      </w:r>
      <w:bookmarkEnd w:id="5"/>
      <w:bookmarkStart w:id="6" w:name="_Toc101179065"/>
      <w:bookmarkStart w:id="7" w:name="_Toc161727400"/>
    </w:p>
    <w:bookmarkEnd w:id="6"/>
    <w:bookmarkEnd w:id="7"/>
    <w:p>
      <w:pPr>
        <w:tabs>
          <w:tab w:val="left" w:pos="6300"/>
        </w:tabs>
        <w:snapToGrid w:val="0"/>
        <w:spacing w:line="500" w:lineRule="exact"/>
        <w:jc w:val="left"/>
        <w:rPr>
          <w:rFonts w:hint="eastAsia" w:ascii="仿宋" w:hAnsi="仿宋" w:eastAsia="仿宋" w:cs="仿宋"/>
          <w:color w:val="auto"/>
          <w:sz w:val="24"/>
          <w:szCs w:val="24"/>
        </w:rPr>
      </w:pPr>
      <w:bookmarkStart w:id="8" w:name="_Toc322965786"/>
      <w:bookmarkStart w:id="9" w:name="_Toc340223174"/>
      <w:r>
        <w:rPr>
          <w:rFonts w:hint="eastAsia" w:ascii="仿宋" w:hAnsi="仿宋" w:eastAsia="仿宋" w:cs="仿宋"/>
          <w:color w:val="auto"/>
          <w:sz w:val="24"/>
          <w:szCs w:val="24"/>
        </w:rPr>
        <w:t>十一、其他说明</w:t>
      </w:r>
      <w:bookmarkEnd w:id="8"/>
      <w:bookmarkEnd w:id="9"/>
      <w:r>
        <w:rPr>
          <w:rFonts w:hint="eastAsia" w:ascii="仿宋" w:hAnsi="仿宋" w:eastAsia="仿宋" w:cs="仿宋"/>
          <w:color w:val="auto"/>
          <w:sz w:val="24"/>
          <w:szCs w:val="24"/>
        </w:rPr>
        <w:t>（格式自拟）</w:t>
      </w:r>
    </w:p>
    <w:p>
      <w:pPr>
        <w:pStyle w:val="3"/>
        <w:rPr>
          <w:rFonts w:hint="eastAsia" w:ascii="仿宋" w:hAnsi="仿宋" w:eastAsia="仿宋" w:cs="仿宋"/>
          <w:color w:val="auto"/>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AB532"/>
    <w:multiLevelType w:val="singleLevel"/>
    <w:tmpl w:val="1EBAB5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1"/>
    <w:rsid w:val="00017410"/>
    <w:rsid w:val="000B569B"/>
    <w:rsid w:val="000D1827"/>
    <w:rsid w:val="000F67C5"/>
    <w:rsid w:val="00120B82"/>
    <w:rsid w:val="00134024"/>
    <w:rsid w:val="00137F89"/>
    <w:rsid w:val="0018670F"/>
    <w:rsid w:val="001C6516"/>
    <w:rsid w:val="001F6DDB"/>
    <w:rsid w:val="00232D4F"/>
    <w:rsid w:val="003D5353"/>
    <w:rsid w:val="003D59F3"/>
    <w:rsid w:val="003F7732"/>
    <w:rsid w:val="0045020F"/>
    <w:rsid w:val="005666C3"/>
    <w:rsid w:val="00587121"/>
    <w:rsid w:val="007416B7"/>
    <w:rsid w:val="007B27E1"/>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 w:val="010701D9"/>
    <w:rsid w:val="03432539"/>
    <w:rsid w:val="04301CD8"/>
    <w:rsid w:val="04B64C5E"/>
    <w:rsid w:val="097573BB"/>
    <w:rsid w:val="0F5E3DEE"/>
    <w:rsid w:val="13535AA4"/>
    <w:rsid w:val="1AD24820"/>
    <w:rsid w:val="1FE74B4D"/>
    <w:rsid w:val="2C5076C0"/>
    <w:rsid w:val="303D3F11"/>
    <w:rsid w:val="32966115"/>
    <w:rsid w:val="35677A29"/>
    <w:rsid w:val="375644F8"/>
    <w:rsid w:val="3CAD0E99"/>
    <w:rsid w:val="3E32677A"/>
    <w:rsid w:val="445F352F"/>
    <w:rsid w:val="46BD2D88"/>
    <w:rsid w:val="535232CD"/>
    <w:rsid w:val="5D1D5A93"/>
    <w:rsid w:val="60104BFB"/>
    <w:rsid w:val="60946700"/>
    <w:rsid w:val="66811B0D"/>
    <w:rsid w:val="6A8E7971"/>
    <w:rsid w:val="6DB40E6F"/>
    <w:rsid w:val="7AA6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8">
    <w:name w:val="Hyperlink"/>
    <w:basedOn w:val="7"/>
    <w:qFormat/>
    <w:uiPriority w:val="99"/>
    <w:rPr>
      <w:color w:val="0000FF"/>
      <w:u w:val="single"/>
    </w:rPr>
  </w:style>
  <w:style w:type="table" w:styleId="10">
    <w:name w:val="Table Grid"/>
    <w:basedOn w:val="9"/>
    <w:semiHidden/>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2 Char"/>
    <w:basedOn w:val="7"/>
    <w:link w:val="3"/>
    <w:qFormat/>
    <w:uiPriority w:val="9"/>
    <w:rPr>
      <w:rFonts w:asciiTheme="majorHAnsi" w:hAnsiTheme="majorHAnsi" w:eastAsiaTheme="majorEastAsia" w:cstheme="majorBidi"/>
      <w:b/>
      <w:bCs/>
      <w:sz w:val="32"/>
      <w:szCs w:val="32"/>
    </w:rPr>
  </w:style>
  <w:style w:type="character" w:customStyle="1" w:styleId="12">
    <w:name w:val="标题 1 Char"/>
    <w:basedOn w:val="7"/>
    <w:link w:val="2"/>
    <w:qFormat/>
    <w:uiPriority w:val="9"/>
    <w:rPr>
      <w:b/>
      <w:bCs/>
      <w:kern w:val="44"/>
      <w:sz w:val="44"/>
      <w:szCs w:val="44"/>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font121"/>
    <w:basedOn w:val="7"/>
    <w:qFormat/>
    <w:uiPriority w:val="0"/>
    <w:rPr>
      <w:rFonts w:hint="eastAsia" w:ascii="微软雅黑" w:hAnsi="微软雅黑" w:eastAsia="微软雅黑" w:cs="微软雅黑"/>
      <w:b/>
      <w:color w:val="000000"/>
      <w:sz w:val="18"/>
      <w:szCs w:val="18"/>
      <w:u w:val="none"/>
    </w:rPr>
  </w:style>
  <w:style w:type="character" w:customStyle="1" w:styleId="16">
    <w:name w:val="font71"/>
    <w:basedOn w:val="7"/>
    <w:qFormat/>
    <w:uiPriority w:val="0"/>
    <w:rPr>
      <w:rFonts w:hint="eastAsia" w:ascii="微软雅黑" w:hAnsi="微软雅黑" w:eastAsia="微软雅黑" w:cs="微软雅黑"/>
      <w:color w:val="000000"/>
      <w:sz w:val="18"/>
      <w:szCs w:val="18"/>
      <w:u w:val="none"/>
    </w:rPr>
  </w:style>
  <w:style w:type="character" w:customStyle="1" w:styleId="17">
    <w:name w:val="font91"/>
    <w:basedOn w:val="7"/>
    <w:qFormat/>
    <w:uiPriority w:val="0"/>
    <w:rPr>
      <w:rFonts w:hint="eastAsia" w:ascii="微软雅黑" w:hAnsi="微软雅黑" w:eastAsia="微软雅黑" w:cs="微软雅黑"/>
      <w:b/>
      <w:color w:val="000000"/>
      <w:sz w:val="18"/>
      <w:szCs w:val="18"/>
      <w:u w:val="none"/>
    </w:rPr>
  </w:style>
  <w:style w:type="character" w:customStyle="1" w:styleId="18">
    <w:name w:val="font61"/>
    <w:basedOn w:val="7"/>
    <w:qFormat/>
    <w:uiPriority w:val="0"/>
    <w:rPr>
      <w:rFonts w:hint="eastAsia" w:ascii="微软雅黑" w:hAnsi="微软雅黑" w:eastAsia="微软雅黑" w:cs="微软雅黑"/>
      <w:color w:val="000000"/>
      <w:sz w:val="18"/>
      <w:szCs w:val="18"/>
      <w:u w:val="none"/>
    </w:rPr>
  </w:style>
  <w:style w:type="character" w:customStyle="1" w:styleId="19">
    <w:name w:val="font31"/>
    <w:basedOn w:val="7"/>
    <w:qFormat/>
    <w:uiPriority w:val="0"/>
    <w:rPr>
      <w:rFonts w:hint="eastAsia" w:ascii="微软雅黑" w:hAnsi="微软雅黑" w:eastAsia="微软雅黑" w:cs="微软雅黑"/>
      <w:b/>
      <w:color w:val="000000"/>
      <w:sz w:val="18"/>
      <w:szCs w:val="18"/>
      <w:u w:val="none"/>
    </w:rPr>
  </w:style>
  <w:style w:type="character" w:customStyle="1" w:styleId="20">
    <w:name w:val="font11"/>
    <w:basedOn w:val="7"/>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856</Words>
  <Characters>4882</Characters>
  <Lines>40</Lines>
  <Paragraphs>11</Paragraphs>
  <TotalTime>3</TotalTime>
  <ScaleCrop>false</ScaleCrop>
  <LinksUpToDate>false</LinksUpToDate>
  <CharactersWithSpaces>5727</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2017-06-20T09:08:00Z</dcterms:created>
  <dc:creator>lenovo</dc:creator>
  <cp:lastModifiedBy>阿明</cp:lastModifiedBy>
  <dcterms:modified xsi:type="dcterms:W3CDTF">2019-01-14T02:05:54Z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